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/>
      </w:pPr>
      <w:r>
        <w:rPr>
          <w:rFonts w:cs="Times New Roman" w:ascii="Times New Roman" w:hAnsi="Times New Roman"/>
          <w:b/>
          <w:sz w:val="18"/>
          <w:szCs w:val="18"/>
        </w:rPr>
        <w:t xml:space="preserve">ISTANZA DI PARTECIPAZIONE Allegato </w:t>
      </w:r>
      <w:r>
        <w:rPr>
          <w:rFonts w:eastAsia="" w:cs="Times New Roman" w:ascii="Times New Roman" w:hAnsi="Times New Roman" w:eastAsiaTheme="minorEastAsia"/>
          <w:b/>
          <w:color w:val="auto"/>
          <w:kern w:val="0"/>
          <w:sz w:val="18"/>
          <w:szCs w:val="18"/>
          <w:lang w:val="it-IT" w:eastAsia="it-IT" w:bidi="ar-SA"/>
        </w:rPr>
        <w:t>A Associazioni</w:t>
      </w:r>
    </w:p>
    <w:p>
      <w:pPr>
        <w:pStyle w:val="Normal"/>
        <w:spacing w:lineRule="auto" w:line="240" w:before="0" w:after="0"/>
        <w:ind w:left="5670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ind w:left="5670" w:hanging="0"/>
        <w:jc w:val="right"/>
        <w:rPr/>
      </w:pPr>
      <w:r>
        <w:rPr>
          <w:rFonts w:cs="Times New Roman" w:ascii="Times New Roman" w:hAnsi="Times New Roman"/>
          <w:sz w:val="18"/>
          <w:szCs w:val="18"/>
        </w:rPr>
        <w:tab/>
        <w:tab/>
        <w:tab/>
      </w:r>
      <w:r>
        <w:rPr>
          <w:rFonts w:cs="Times New Roman" w:ascii="Arial" w:hAnsi="Arial"/>
          <w:sz w:val="18"/>
          <w:szCs w:val="18"/>
        </w:rPr>
        <w:t>Spett.le  Comune di Gangi</w:t>
      </w:r>
    </w:p>
    <w:p>
      <w:pPr>
        <w:pStyle w:val="Normal"/>
        <w:spacing w:lineRule="auto" w:line="240" w:before="0" w:after="0"/>
        <w:ind w:left="5670" w:hanging="0"/>
        <w:jc w:val="right"/>
        <w:rPr>
          <w:rFonts w:ascii="Arial" w:hAnsi="Arial"/>
        </w:rPr>
      </w:pPr>
      <w:r>
        <w:rPr>
          <w:rFonts w:cs="Times New Roman" w:ascii="Arial" w:hAnsi="Arial"/>
          <w:sz w:val="18"/>
          <w:szCs w:val="18"/>
        </w:rPr>
        <w:t>Via Salita Municipio, n.2</w:t>
      </w:r>
    </w:p>
    <w:p>
      <w:pPr>
        <w:pStyle w:val="Normal"/>
        <w:spacing w:lineRule="auto" w:line="240" w:before="0" w:after="0"/>
        <w:ind w:left="5670" w:hanging="0"/>
        <w:jc w:val="right"/>
        <w:rPr>
          <w:rFonts w:ascii="Arial" w:hAnsi="Arial"/>
        </w:rPr>
      </w:pPr>
      <w:r>
        <w:rPr>
          <w:rFonts w:cs="Times New Roman" w:ascii="Arial" w:hAnsi="Arial"/>
          <w:sz w:val="18"/>
          <w:szCs w:val="18"/>
        </w:rPr>
        <w:t xml:space="preserve">90024 </w:t>
      </w:r>
      <w:r>
        <w:rPr>
          <w:rFonts w:cs="Times New Roman" w:ascii="Arial" w:hAnsi="Arial"/>
          <w:sz w:val="18"/>
          <w:szCs w:val="18"/>
          <w:u w:val="single"/>
        </w:rPr>
        <w:t>GANGI</w:t>
      </w:r>
    </w:p>
    <w:p>
      <w:pPr>
        <w:pStyle w:val="Normal"/>
        <w:spacing w:lineRule="auto" w:line="240" w:before="0" w:after="0"/>
        <w:ind w:left="5670" w:hanging="0"/>
        <w:jc w:val="both"/>
        <w:rPr>
          <w:rFonts w:ascii="Arial" w:hAnsi="Arial" w:cs="Times New Roman"/>
          <w:sz w:val="18"/>
          <w:szCs w:val="18"/>
          <w:u w:val="single"/>
        </w:rPr>
      </w:pPr>
      <w:r>
        <w:rPr>
          <w:rFonts w:cs="Times New Roman" w:ascii="Arial" w:hAnsi="Arial"/>
          <w:sz w:val="18"/>
          <w:szCs w:val="18"/>
          <w:u w:val="single"/>
        </w:rPr>
      </w:r>
    </w:p>
    <w:p>
      <w:pPr>
        <w:pStyle w:val="Normal"/>
        <w:spacing w:lineRule="auto" w:line="240" w:before="0" w:after="0"/>
        <w:ind w:left="5670" w:hanging="0"/>
        <w:jc w:val="both"/>
        <w:rPr>
          <w:rFonts w:ascii="Arial" w:hAnsi="Arial" w:cs="Times New Roman"/>
          <w:sz w:val="18"/>
          <w:szCs w:val="18"/>
          <w:u w:val="single"/>
        </w:rPr>
      </w:pPr>
      <w:r>
        <w:rPr>
          <w:rFonts w:cs="Times New Roman" w:ascii="Arial" w:hAnsi="Arial"/>
          <w:sz w:val="18"/>
          <w:szCs w:val="18"/>
          <w:u w:val="single"/>
        </w:rPr>
      </w:r>
    </w:p>
    <w:p>
      <w:pPr>
        <w:pStyle w:val="Normal"/>
        <w:spacing w:lineRule="auto" w:line="240" w:before="0" w:after="0"/>
        <w:ind w:left="5245" w:hanging="0"/>
        <w:jc w:val="right"/>
        <w:rPr>
          <w:rFonts w:ascii="Arial" w:hAnsi="Arial" w:cs="Times New Roman"/>
          <w:b/>
          <w:b/>
          <w:sz w:val="18"/>
          <w:szCs w:val="18"/>
          <w:u w:val="single"/>
        </w:rPr>
      </w:pPr>
      <w:r>
        <w:rPr>
          <w:rFonts w:cs="Times New Roman" w:ascii="Arial" w:hAnsi="Arial"/>
          <w:b/>
          <w:sz w:val="18"/>
          <w:szCs w:val="18"/>
          <w:u w:val="single"/>
        </w:rPr>
      </w:r>
    </w:p>
    <w:p>
      <w:pPr>
        <w:pStyle w:val="Normal"/>
        <w:snapToGrid w:val="false"/>
        <w:spacing w:before="0" w:after="0"/>
        <w:ind w:left="993" w:right="214" w:hanging="993"/>
        <w:jc w:val="both"/>
        <w:textAlignment w:val="baseline"/>
        <w:rPr/>
      </w:pPr>
      <w:r>
        <w:rPr>
          <w:rFonts w:cs="Times New Roman" w:ascii="Arial" w:hAnsi="Arial"/>
          <w:b/>
          <w:sz w:val="22"/>
          <w:szCs w:val="22"/>
        </w:rPr>
        <w:t xml:space="preserve">Oggetto: </w:t>
      </w:r>
      <w:r>
        <w:rPr>
          <w:rFonts w:eastAsia="" w:cs="Times New Roman" w:ascii="Arial" w:hAnsi="Arial" w:eastAsiaTheme="minorEastAsia"/>
          <w:bCs/>
          <w:color w:val="auto"/>
          <w:kern w:val="0"/>
          <w:sz w:val="22"/>
          <w:szCs w:val="22"/>
          <w:lang w:val="it-IT" w:eastAsia="it-IT" w:bidi="ar-SA"/>
        </w:rPr>
        <w:t>Dichiarazione</w:t>
      </w:r>
      <w:r>
        <w:rPr>
          <w:rFonts w:eastAsia="" w:cs="Times New Roman" w:ascii="Arial" w:hAnsi="Arial" w:eastAsiaTheme="minorEastAsia"/>
          <w:color w:val="auto"/>
          <w:kern w:val="0"/>
          <w:sz w:val="22"/>
          <w:szCs w:val="22"/>
          <w:lang w:val="it-IT" w:eastAsia="it-IT" w:bidi="ar-SA"/>
        </w:rPr>
        <w:t xml:space="preserve"> </w:t>
      </w:r>
      <w:bookmarkStart w:id="0" w:name="__DdeLink__4465_1771019292"/>
      <w:r>
        <w:rPr>
          <w:rFonts w:eastAsia="" w:cs="Times New Roman" w:ascii="Arial" w:hAnsi="Arial" w:eastAsiaTheme="minorEastAsia"/>
          <w:color w:val="auto"/>
          <w:kern w:val="0"/>
          <w:sz w:val="22"/>
          <w:szCs w:val="22"/>
          <w:lang w:val="it-IT" w:eastAsia="it-IT" w:bidi="ar-SA"/>
        </w:rPr>
        <w:t xml:space="preserve">per l’affidamento </w:t>
      </w:r>
      <w:r>
        <w:rPr>
          <w:rFonts w:eastAsia="Calibri" w:cs="Bookman Old Style" w:ascii="Arial" w:hAnsi="Arial"/>
          <w:b w:val="false"/>
          <w:bCs w:val="false"/>
          <w:color w:val="010202"/>
          <w:spacing w:val="-1"/>
          <w:kern w:val="0"/>
          <w:sz w:val="22"/>
          <w:szCs w:val="22"/>
          <w:lang w:val="it-IT" w:eastAsia="en-US" w:bidi="ar-SA"/>
        </w:rPr>
        <w:t xml:space="preserve"> del servizio  </w:t>
      </w:r>
      <w:r>
        <w:rPr>
          <w:rFonts w:eastAsia="Calibri" w:cs="Bookman Old Style" w:ascii="Arial" w:hAnsi="Arial"/>
          <w:b w:val="false"/>
          <w:bCs w:val="false"/>
          <w:color w:val="010202"/>
          <w:spacing w:val="-1"/>
          <w:kern w:val="0"/>
          <w:sz w:val="22"/>
          <w:szCs w:val="22"/>
          <w:lang w:val="it-IT" w:eastAsia="en-US" w:bidi="ar-SA"/>
        </w:rPr>
        <w:t>intrattenimento spettacolo musicale “Estate Engioy 2025”</w:t>
      </w:r>
    </w:p>
    <w:p>
      <w:pPr>
        <w:pStyle w:val="Normal"/>
        <w:snapToGrid w:val="false"/>
        <w:spacing w:before="0" w:after="0"/>
        <w:ind w:left="993" w:right="214" w:hanging="993"/>
        <w:jc w:val="both"/>
        <w:textAlignment w:val="baseline"/>
        <w:rPr>
          <w:rFonts w:ascii="Times New Roman" w:hAnsi="Times New Roman"/>
          <w:sz w:val="18"/>
          <w:szCs w:val="18"/>
        </w:rPr>
      </w:pPr>
      <w:bookmarkEnd w:id="0"/>
      <w:r>
        <w:rPr>
          <w:rFonts w:cs="Times New Roman" w:ascii="Arial" w:hAnsi="Arial"/>
          <w:b/>
          <w:sz w:val="22"/>
          <w:szCs w:val="22"/>
        </w:rPr>
        <w:t xml:space="preserve">          </w:t>
      </w:r>
    </w:p>
    <w:p>
      <w:pPr>
        <w:pStyle w:val="Normal"/>
        <w:jc w:val="both"/>
        <w:rPr>
          <w:rFonts w:ascii="Arial" w:hAnsi="Arial"/>
        </w:rPr>
      </w:pPr>
      <w:r>
        <w:rPr>
          <w:rFonts w:cs="Times New Roman" w:ascii="Arial" w:hAnsi="Arial"/>
          <w:sz w:val="22"/>
          <w:szCs w:val="22"/>
        </w:rPr>
        <w:t xml:space="preserve">Io sottoscritto ……………………………………………………………………………….….………..…….……… </w:t>
      </w:r>
      <w:r>
        <w:rPr>
          <w:rFonts w:cs="Times New Roman" w:ascii="Arial" w:hAnsi="Arial"/>
          <w:strike w:val="false"/>
          <w:dstrike w:val="false"/>
          <w:sz w:val="22"/>
          <w:szCs w:val="22"/>
          <w:u w:val="none"/>
        </w:rPr>
        <w:t xml:space="preserve">nato a ………….............................……………... il ..............................…….C.F. ................................................ nella qualità di legale rappresentante dell’Associazione …. ..................................................………………………….con sede legale in …………………………………… Via …………………………………………………………………... codice fiscale ....................……….................., partita I.V.A. ....….......….......………..........., A tal fine, ai sensi degli artt. 46 e 47 del D.P.R. 28 dicembre 2000 n. 445, sotto la propria responsabilità ed avendone piena conoscenza, consapevole delle responsabilità penali derivanti dal rilascio di dichiarazioni mendaci, di formazione o uso di atti falsi, concessi sulla base di una dichiarazione non veritiera, richiamate dagli artt. 75 e 76 del medesimo decreto </w:t>
      </w:r>
    </w:p>
    <w:p>
      <w:pPr>
        <w:pStyle w:val="Normal"/>
        <w:spacing w:before="0" w:after="0"/>
        <w:jc w:val="both"/>
        <w:rPr>
          <w:rFonts w:ascii="Arial" w:hAnsi="Arial"/>
        </w:rPr>
      </w:pPr>
      <w:r>
        <w:rPr>
          <w:rFonts w:eastAsia="" w:cs="Times New Roman" w:ascii="Arial" w:hAnsi="Arial" w:eastAsiaTheme="minorEastAsia"/>
          <w:b/>
          <w:color w:val="auto"/>
          <w:kern w:val="0"/>
          <w:sz w:val="22"/>
          <w:szCs w:val="22"/>
          <w:lang w:val="it-IT" w:eastAsia="it-IT" w:bidi="ar-SA"/>
        </w:rPr>
        <w:t>ai   sensi   degli   articoli   46   e   47   del   DPR  n.   445/2000,  consapevole   delle   sanzioni   penali   previste</w:t>
      </w:r>
      <w:r>
        <w:rPr>
          <w:rFonts w:eastAsia="" w:cs="Times New Roman" w:ascii="Arial" w:hAnsi="Arial" w:eastAsiaTheme="minorEastAsia"/>
          <w:b/>
          <w:color w:val="auto"/>
          <w:kern w:val="0"/>
          <w:sz w:val="18"/>
          <w:szCs w:val="18"/>
          <w:lang w:val="it-IT" w:eastAsia="it-IT" w:bidi="ar-SA"/>
        </w:rPr>
        <w:t xml:space="preserve">  </w:t>
      </w:r>
      <w:r>
        <w:rPr>
          <w:rFonts w:eastAsia="" w:cs="Times New Roman" w:ascii="Arial" w:hAnsi="Arial" w:eastAsiaTheme="minorEastAsia"/>
          <w:b/>
          <w:color w:val="auto"/>
          <w:kern w:val="0"/>
          <w:sz w:val="22"/>
          <w:szCs w:val="22"/>
          <w:lang w:val="it-IT" w:eastAsia="it-IT" w:bidi="ar-SA"/>
        </w:rPr>
        <w:t>dall'articolo 76 del predetto decreto per false attestazioni e dichiarazioni mendaci,</w:t>
      </w:r>
    </w:p>
    <w:p>
      <w:pPr>
        <w:pStyle w:val="Normal"/>
        <w:spacing w:before="0" w:after="0"/>
        <w:jc w:val="center"/>
        <w:rPr>
          <w:rFonts w:ascii="Arial" w:hAnsi="Arial" w:eastAsia="" w:cs="Times New Roman" w:eastAsiaTheme="minorEastAsia"/>
          <w:color w:val="auto"/>
          <w:kern w:val="0"/>
          <w:sz w:val="22"/>
          <w:szCs w:val="22"/>
          <w:lang w:val="it-IT" w:eastAsia="it-IT" w:bidi="ar-SA"/>
        </w:rPr>
      </w:pPr>
      <w:r>
        <w:rPr>
          <w:rFonts w:eastAsia="" w:cs="Times New Roman" w:eastAsiaTheme="minorEastAsia" w:ascii="Arial" w:hAnsi="Arial"/>
          <w:color w:val="auto"/>
          <w:kern w:val="0"/>
          <w:sz w:val="22"/>
          <w:szCs w:val="22"/>
          <w:lang w:val="it-IT" w:eastAsia="it-IT" w:bidi="ar-SA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cs="Times New Roman" w:ascii="Arial" w:hAnsi="Arial"/>
          <w:b/>
          <w:sz w:val="22"/>
          <w:szCs w:val="22"/>
        </w:rPr>
        <w:t>D I C H I A R A</w:t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left"/>
        <w:rPr>
          <w:rFonts w:ascii="Arial" w:hAnsi="Arial"/>
        </w:rPr>
      </w:pPr>
      <w:r>
        <w:rPr>
          <w:rFonts w:cs="Times New Roman" w:ascii="Arial" w:hAnsi="Arial"/>
          <w:b/>
          <w:sz w:val="22"/>
          <w:szCs w:val="22"/>
        </w:rPr>
        <w:t xml:space="preserve">                      </w:t>
      </w:r>
    </w:p>
    <w:p>
      <w:pPr>
        <w:pStyle w:val="Normal"/>
        <w:widowControl/>
        <w:numPr>
          <w:ilvl w:val="0"/>
          <w:numId w:val="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spacing w:lineRule="exact" w:line="240" w:before="0" w:after="120"/>
        <w:ind w:left="0" w:right="0" w:hanging="0"/>
        <w:contextualSpacing/>
        <w:jc w:val="both"/>
        <w:rPr>
          <w:rFonts w:ascii="Arial" w:hAnsi="Arial"/>
        </w:rPr>
      </w:pPr>
      <w:r>
        <w:rPr>
          <w:rFonts w:eastAsia="Times New Roman" w:cs="Times New Roman" w:ascii="Arial" w:hAnsi="Arial"/>
          <w:b w:val="false"/>
          <w:i w:val="false"/>
          <w:strike w:val="false"/>
          <w:dstrike w:val="false"/>
          <w:sz w:val="22"/>
          <w:szCs w:val="22"/>
          <w:u w:val="none"/>
        </w:rPr>
        <w:t xml:space="preserve">Che l’Associazione: ha la seguente forma giuridica ………………………………………………………………………………… - ha il seguente codice fiscale ................................................................................................................... - ha la seguente partita IVA ....................................................................................................................... è iscritta al n. ………………… del Registro unico nazionale del Terzo Settore - ha il seguente oggetto sociale: …..…………………………………………………………………………………………………………..... ……………………………………………………………………………………………………………………… ed esercita le seguenti attività: ………………………………………………………………………………… …………………….....…………………………………………………………………………………………… - ha sede legale in: ………..................................………………………………………………………………. via ………………………………………………………………………………………………………...….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cs="Times New Roman" w:ascii="Arial" w:hAnsi="Arial"/>
          <w:sz w:val="22"/>
          <w:szCs w:val="22"/>
          <w:highlight w:val="yellow"/>
        </w:rPr>
        <w:t xml:space="preserve">                                                                                                                             </w:t>
      </w:r>
    </w:p>
    <w:p>
      <w:pPr>
        <w:pStyle w:val="Normal"/>
        <w:widowControl/>
        <w:bidi w:val="0"/>
        <w:spacing w:lineRule="auto" w:line="276" w:before="0" w:after="200"/>
        <w:ind w:left="0" w:right="-113" w:hanging="0"/>
        <w:jc w:val="both"/>
        <w:rPr/>
      </w:pPr>
      <w:r>
        <w:rPr>
          <w:rFonts w:ascii="Arial" w:hAnsi="Arial"/>
          <w:color w:val="000000"/>
          <w:sz w:val="20"/>
        </w:rPr>
        <w:t xml:space="preserve">☐ </w:t>
      </w:r>
      <w:r>
        <w:rPr>
          <w:rFonts w:ascii="Arial" w:hAnsi="Arial"/>
          <w:color w:val="000000"/>
          <w:sz w:val="20"/>
        </w:rPr>
        <w:t>di non trovarsi nelle cause di esclusione dalla partecipazione ad una procedura di Appalto o concessione elencante nell’art. 94 comma 1 del D. Lgs. 36/2023, ovvero che nei propri confronti e, nei limiti di quanto di propria conoscenza, nei confronti dei soggetti indicati al comma 3 dell’articolo 94 del D. Lgs 36/2023, non è stata pronunciata sentenza definitiva di condanna o emesso decreto penale di condanna divenuto irrevocabile,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oppure sentenza di applicazione della pena su richiesta ai sensi dell'articolo 444 del codice di procedura penale per uno dei seguenti reati: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a) delitti, consumati o tentati, di cui agli articoli 416, 416-bis del codice penale ovvero delitti commessi avvalendosi delle condizioni previste dal predetto articolo 416-bis ovvero al fine di agevolare l’attività delle associazioni previste dallo stesso articolo, nonché’ per i delitti, consumati o tentati, previsti dall’articolo 74 del decreto del Presidente della Repubblica 9 ottobre 1990, n.309, dall’articolo 291quater del decreto del Presidente della Repubblica 23 gennaio 1973, n. 43 e dall’articolo 260 del decreto legislativo 3 aprile 2006, n. 152, in quanto riconducibili alla partecipazione a un’organizzazione criminale, quale definita all’articolo 2 della decisione quadro2008/841/GAI del Consiglio;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b) delitti, consumati o tentati, di cui agli articoli 317, 318, 319, 319-ter, 319-quater, 320, 321, 322,322bis, 346- bis, 353, 353-bis, 354, 355 e 356 del codice penale nonché all’articolo 2635 del codice civile;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c) false comunicazioni sociali di cui agli articoli 2621 e 2622 del codice civile;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d) frode ai sensi dell’articolo 1 della convenzione relativa alla tutela degli interessi finanziari delle Comunità europee;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e) delitti, consumati o tentati, commessi con finalità di terrorismo, anche internazionale, e di eversione dell’ordine costituzionale reati terroristici o reati connessi alle attività terroristiche;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f) delitti di cui agli articoli 648-bis, 648-ter e 648-ter.1 del codice penale, riciclaggio di proventi di attività criminose o finanziamento del terrorismo, quali definiti all’articolo 1 del decreto legislativo22 giugno 2007, n. 109 e successive modificazioni;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g) sfruttamento del lavoro minorile e altre forme di tratta di esseri umani definite con il decreto legislativo 4 marzo 2014, n. 24;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h) ogni altro delitto da cui derivi, quale pena accessoria, l’incapacità di contrattare con la pubblica Amministrazione;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☐</w:t>
      </w:r>
      <w:r>
        <w:rPr>
          <w:rFonts w:ascii="Arial" w:hAnsi="Arial"/>
          <w:color w:val="000000"/>
          <w:sz w:val="20"/>
        </w:rPr>
        <w:t>di non trovarsi nelle cause di esclusione dalla partecipazione ad una procedura di Appalto o concessione elencante nell’art. 94 comma 2 del D. Lgs. 36/2023, ovvero: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 xml:space="preserve"> </w:t>
      </w:r>
      <w:r>
        <w:rPr>
          <w:rFonts w:ascii="Arial" w:hAnsi="Arial"/>
          <w:color w:val="000000"/>
          <w:sz w:val="20"/>
        </w:rPr>
        <w:t>che nei propri confronti non sussiste alcuna causa di divieto, decadenza o sospensione di cui all’art. 67 del D. Lgs. 159/2011 di ragioni di decadenza, di sospensione o di divieto previste dall’articolo 67 del codice delle leggi antimafia e delle misure di prevenzione, di cui al decreto legislativo 6 settembre 2011, n. 159 o di un tentativo di infiltrazione mafiosa di cui all’articolo 84,comma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☐</w:t>
      </w:r>
      <w:r>
        <w:rPr>
          <w:rFonts w:ascii="Arial" w:hAnsi="Arial"/>
          <w:color w:val="000000"/>
          <w:sz w:val="20"/>
        </w:rPr>
        <w:t>di non trovarsi nelle cause di esclusione dalla partecipazione ad una procedura di Appalto o concessione elencante nell’art. 94 comma 5 del D. Lgs. 36/2023, ovvero: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a) operatore economico destinatario della sanzione interdittiva di cui all'articolo 9, comma 2, lettera c), del decreto legislativo 8 giugno 2001, n. 231, o di altra sanzione che comporta il divieto di contrarre con la pubblica amministrazione, compresi i provvedimenti interdittivi di cui all'articolo14 del decreto legislativo 9 aprile 2008, n. 81;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b) operatore economico che non abbia presentato la certificazione di cui all'articolo 17 della legge 12 marzo 1999, n. 68, ovvero non abbia presentato dichiarazione sostitutiva della sussistenza del requisito stesso;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c) in relazione alle procedure afferenti agli investimenti pubblici finanziati, in tutto o in parte, con le risorse previste dal regolamento (UE) n. 240/2021 del Parlamento europeo e del Consiglio, del 10 febbraio 2021 e dal regolamento (UE) n. 241/2021 del Parlamento europeo e del Consiglio, del 12 febbraio 2021, gli operatori economici tenuti alla redazione del rapporto sulla situazione del personale, ai sensi dell'articolo 46 del codice delle pari opportunità tra uomo e donna, di cui al decreto legislativo 11 aprile 2006, n. 198, che non abbiano prodotto, al momento della presentazione della domanda di partecipazione o dell'offerta, copia dell'ultimo rapporto redatto, con attestazione della sua conformità a quello trasmesso alle rappresentanze sindacali aziendali e alla consigliera e al consigliere regionale di parità ai sensi del comma 2 del citato Articolo 46, oppure, in caso di inosservanza dei termini previsti dal comma 1 del medesimo articolo 46, con attestazione della sua contestuale trasmissione alle rappresentanze sindacali aziendali e alla consigliera e al consigliere regionale di parità;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d) operatore economico che sia stato sottoposto a liquidazione giudiziale o si trovi in stato di liquidazione coatta o di concordato preventivo o nei cui confronti sia in corso un procedimento per l'accesso a una di tali procedure, fermo restando quanto previsto dall'articolo 95 del codice della crisi di impresa e dell'insolvenza, di cui al decreto legislativo 12 gennaio 2019, n. 14, dall'articolo 186-bis, comma 5, del regio decreto 16 marzo 1942, n. 267 e dall'articolo 124 del presente codice. L'esclusione non opera se, entro la data dell'aggiudicazione, sono stati adottati i provvedimenti di cui all'articolo 186-bis, comma 5, del regio decreto 16 marzo 1942, n. 267 e all'articolo 95, commi 3 e 4, del codice di cui al decreto legislativo n. 14 del 2019, a meno che non intervengano ulteriori circostanze escludenti relative alle procedura concorsuali;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e) operatore economico iscritto nel casellario informatico tenuto dall'ANAC per aver presentato false dichiarazioni o falsa documentazione nelle procedure di gara e negli affidamenti di subappalti; la causa di esclusione perdura fino a quando opera l'iscrizione nel casellario informatico;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f) operatore economico iscritto nel casellario informatico tenuto dall'ANAC per aver presentato false  dichiarazioni o falsa documentazione ai fini del rilascio dell'attestazione di qualificazione, per il periodo durante il quale perdura l'iscrizione;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☐</w:t>
      </w:r>
      <w:r>
        <w:rPr>
          <w:rFonts w:ascii="Arial" w:hAnsi="Arial"/>
          <w:color w:val="000000"/>
          <w:sz w:val="20"/>
        </w:rPr>
        <w:t>di non trovarsi nelle cause di esclusione dalla partecipazione ad una procedura di Appalto o concessione elencante nell’art. 94 comma 6 del D. Lgs. 36/2023, ovvero: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 xml:space="preserve"> </w:t>
      </w:r>
      <w:r>
        <w:rPr>
          <w:rFonts w:ascii="Arial" w:hAnsi="Arial"/>
          <w:color w:val="000000"/>
          <w:sz w:val="20"/>
        </w:rPr>
        <w:t>di non aver commesso violazioni gravi, definitivamente accertate, degli obblighi relativi al pagamento delle imposte e tasse o dei contributi previdenziali, secondo la legislazione italiana o quella dello Stato in cui sono stabiliti (cfr.Allegato II.10 al d.lgs.36/2023);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☐</w:t>
      </w:r>
      <w:r>
        <w:rPr>
          <w:rFonts w:ascii="Arial" w:hAnsi="Arial"/>
          <w:color w:val="000000"/>
          <w:sz w:val="20"/>
        </w:rPr>
        <w:t>di non trovarsi nelle cause di esclusione dalla partecipazione ad una procedura di Appalto o concessione elencante nell’art. 95 comma 1 del D. Lgs. 36/2023, ovvero: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a) gravi infrazioni, debitamente accertate con qualunque mezzo adeguato, alle norme in materia di salute e di sicurezza sul lavoro nonché agli obblighi in materia ambientale, sociale e del lavoro stabiliti dalla normativa europea e nazionale, dai contratti collettivi o dalle disposizioni internazionali elencate nell'allegato X alla direttiva 2014/24/UE del Parlamento europeo e del Consiglio del 26 febbraio 2014;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b) situazione di conflitto di interesse di cui all'articolo 16 non diversamente risolvibile;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c) distorsione della concorrenza derivante dal precedente coinvolgimento degli operatori economici nella preparazione della procedura d'appalto che non possa essere risolta con misure meno intrusive;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d) rilevanti indizi tali da far ritenere che le offerte degli operatori economici siano imputabili ad un unico centro decisionale a cagione di accordi intercorsi con altri operatori economici partecipanti alla stessa gara;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e) abbia commesso un illecito professionale grave, tale da rendere dubbia la sua integrità o affidabilità, dimostrato dalla stazione appaltante con mezzi adeguati;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☐</w:t>
      </w:r>
      <w:r>
        <w:rPr>
          <w:rFonts w:ascii="Arial" w:hAnsi="Arial"/>
          <w:color w:val="000000"/>
          <w:sz w:val="20"/>
        </w:rPr>
        <w:t>di non essersi reso colpevole di illeciti professionali, tali da rendere dubbia la sua integrità o affidabilità né ricorre nelle fattispecie di cui all’art. 98 del D. Lgs 36/2023;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>- al fine dell’applicazione dell’art. 53, comma 16-ter, del D. Lgs. n. 165/2001, introdotto dalla legge n. 190/2012 (attività successiva alla cessazione del rapporto di lavoro – pantouflage o revolving doors):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 xml:space="preserve">☐ </w:t>
      </w:r>
      <w:r>
        <w:rPr>
          <w:rFonts w:ascii="Arial" w:hAnsi="Arial"/>
          <w:color w:val="000000"/>
          <w:sz w:val="20"/>
        </w:rPr>
        <w:t>Di non aver concluso contratti di lavoro subordinato o autonomo e, comunque, di non aver attribuito incarichi ad ex dipendenti, che hanno esercitato poteri autoritativi o negoziali per conto delle pubbliche amministrazioni nei confronti dell’impresa di cui sopra, nel triennio successivo alla cessazione del rapporto;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 xml:space="preserve">☐ </w:t>
      </w:r>
      <w:r>
        <w:rPr>
          <w:rFonts w:ascii="Arial" w:hAnsi="Arial"/>
          <w:color w:val="000000"/>
          <w:sz w:val="20"/>
        </w:rPr>
        <w:t>Che è consapevole che, ai sensi del predetto art. 53, comma 16-ter, i contratti conclusi e gli incarichi conferiti in violazione di tali prescrizioni sono nulli e che è fatto divieto ai soggetti privati che li hanno conclusi o conferiti di contrattare con le pubbliche amministrazioni per i successivi tre anni, con l'obbligo di restituzione dei compensi eventualmente percepiti e accertati ad essi riferiti.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color w:val="000000"/>
          <w:sz w:val="20"/>
        </w:rPr>
        <w:t xml:space="preserve">Luogo e data: </w:t>
      </w:r>
    </w:p>
    <w:p>
      <w:pPr>
        <w:pStyle w:val="Normal"/>
        <w:jc w:val="right"/>
        <w:rPr/>
      </w:pPr>
      <w:r>
        <w:rPr>
          <w:rFonts w:ascii="Arial" w:hAnsi="Arial"/>
          <w:color w:val="000000"/>
          <w:sz w:val="20"/>
        </w:rPr>
        <w:tab/>
        <w:t xml:space="preserve">FIRMA DIGITALE                     </w:t>
      </w:r>
    </w:p>
    <w:p>
      <w:pPr>
        <w:pStyle w:val="Normal"/>
        <w:jc w:val="right"/>
        <w:rPr/>
      </w:pPr>
      <w:r>
        <w:rPr>
          <w:rFonts w:eastAsia="" w:cs="" w:ascii="Arial" w:hAnsi="Arial"/>
          <w:b/>
          <w:bCs/>
          <w:color w:val="000000"/>
          <w:kern w:val="0"/>
          <w:sz w:val="20"/>
          <w:szCs w:val="22"/>
          <w:lang w:val="it-IT" w:eastAsia="it-IT" w:bidi="ar-SA"/>
        </w:rPr>
        <w:t>Rappresentante Legale dell’Associazione</w:t>
      </w:r>
    </w:p>
    <w:p>
      <w:pPr>
        <w:pStyle w:val="Normal"/>
        <w:spacing w:before="0" w:after="20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417" w:footer="279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10693392"/>
    </w:sdtPr>
    <w:sdtContent>
      <w:p>
        <w:pPr>
          <w:pStyle w:val="Pidipagina"/>
          <w:jc w:val="right"/>
          <w:rPr/>
        </w:pPr>
        <w:r>
          <w:rPr/>
        </w:r>
      </w:p>
      <w:p>
        <w:pPr>
          <w:pStyle w:val="Pidipagin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Pidipa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7b0c08"/>
    <w:rPr>
      <w:color w:val="0000FF" w:themeColor="hyperlink"/>
      <w:u w:val="single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71d57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f71d57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e6979"/>
    <w:rPr>
      <w:rFonts w:ascii="Tahoma" w:hAnsi="Tahoma" w:cs="Tahoma"/>
      <w:sz w:val="16"/>
      <w:szCs w:val="16"/>
    </w:rPr>
  </w:style>
  <w:style w:type="character" w:styleId="Ngbinding">
    <w:name w:val="ng-binding"/>
    <w:basedOn w:val="DefaultParagraphFont"/>
    <w:qFormat/>
    <w:rPr/>
  </w:style>
  <w:style w:type="character" w:styleId="Carpredefinitoparagrafo">
    <w:name w:val="Car. predefinito paragrafo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e5ffe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7b0c0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f71d57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f71d57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e697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rattere" w:customStyle="1">
    <w:name w:val="Carattere"/>
    <w:basedOn w:val="Normal"/>
    <w:qFormat/>
    <w:rsid w:val="00e7167e"/>
    <w:pPr>
      <w:spacing w:lineRule="exact" w:line="240" w:before="0" w:after="160"/>
    </w:pPr>
    <w:rPr>
      <w:rFonts w:ascii="Verdana" w:hAnsi="Verdana" w:eastAsia="Times New Roman" w:cs="Verdana"/>
      <w:sz w:val="20"/>
      <w:szCs w:val="20"/>
      <w:lang w:val="en-US" w:eastAsia="en-US"/>
    </w:rPr>
  </w:style>
  <w:style w:type="paragraph" w:styleId="NoSpacing">
    <w:name w:val="No Spacing"/>
    <w:uiPriority w:val="1"/>
    <w:qFormat/>
    <w:rsid w:val="00e7167e"/>
    <w:pPr>
      <w:widowControl/>
      <w:bidi w:val="0"/>
      <w:spacing w:lineRule="auto" w:line="240" w:before="0" w:after="0"/>
      <w:jc w:val="left"/>
    </w:pPr>
    <w:rPr>
      <w:rFonts w:ascii="Verdana" w:hAnsi="Verdana" w:eastAsia="Times New Roman" w:cs="Times New Roman"/>
      <w:color w:val="auto"/>
      <w:kern w:val="0"/>
      <w:sz w:val="20"/>
      <w:szCs w:val="22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Nessunelenco1" w:customStyle="1">
    <w:name w:val="Nessun elenco1"/>
    <w:uiPriority w:val="99"/>
    <w:semiHidden/>
    <w:unhideWhenUsed/>
    <w:qFormat/>
    <w:rsid w:val="00e7167e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80754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99271-50EF-45BC-AB63-863863BD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Application>LibreOffice/6.3.4.2$Windows_X86_64 LibreOffice_project/60da17e045e08f1793c57c00ba83cdfce946d0aa</Application>
  <Pages>4</Pages>
  <Words>1602</Words>
  <Characters>9916</Characters>
  <CharactersWithSpaces>11693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2012-06-13T15:35:00Z</dcterms:created>
  <dc:creator>user</dc:creator>
  <dc:description/>
  <dc:language>it-IT</dc:language>
  <cp:lastModifiedBy/>
  <cp:lastPrinted>2024-03-21T11:53:52Z</cp:lastPrinted>
  <dcterms:modified xsi:type="dcterms:W3CDTF">2025-07-29T15:15:05Z</dcterms:modified>
  <cp:revision>120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