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drawing>
          <wp:anchor behindDoc="0" distT="0" distB="0" distL="0" distR="0" simplePos="0" locked="0" layoutInCell="1" allowOverlap="1" relativeHeight="2">
            <wp:simplePos x="0" y="0"/>
            <wp:positionH relativeFrom="column">
              <wp:posOffset>126365</wp:posOffset>
            </wp:positionH>
            <wp:positionV relativeFrom="paragraph">
              <wp:posOffset>-804545</wp:posOffset>
            </wp:positionV>
            <wp:extent cx="5963285" cy="1230630"/>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tretch>
                      <a:fillRect/>
                    </a:stretch>
                  </pic:blipFill>
                  <pic:spPr bwMode="auto">
                    <a:xfrm>
                      <a:off x="0" y="0"/>
                      <a:ext cx="5963285" cy="1230630"/>
                    </a:xfrm>
                    <a:prstGeom prst="rect">
                      <a:avLst/>
                    </a:prstGeom>
                  </pic:spPr>
                </pic:pic>
              </a:graphicData>
            </a:graphic>
          </wp:anchor>
        </w:drawing>
      </w:r>
      <w:r>
        <w:rPr/>
        <w:t xml:space="preserve"> </w:t>
      </w:r>
      <w:r>
        <w:rPr/>
        <w:t xml:space="preserve">   </w:t>
      </w:r>
      <w:r>
        <w:rPr/>
        <w:t>SETTORE SERVIZI SOCIALI SCOLASTICI E CULTURALI</w:t>
      </w:r>
    </w:p>
    <w:p>
      <w:pPr>
        <w:pStyle w:val="Normal"/>
        <w:widowControl/>
        <w:suppressAutoHyphens w:val="true"/>
        <w:bidi w:val="0"/>
        <w:ind w:left="5216" w:right="0" w:hanging="397"/>
        <w:jc w:val="right"/>
        <w:rPr>
          <w:rStyle w:val="CollegamentoInternet"/>
          <w:rFonts w:ascii="Arial" w:hAnsi="Arial" w:eastAsia="Times New Roman" w:cs="Arial"/>
          <w:b/>
          <w:b/>
          <w:bCs/>
          <w:sz w:val="20"/>
          <w:szCs w:val="24"/>
        </w:rPr>
      </w:pPr>
      <w:r>
        <w:rPr>
          <w:rFonts w:eastAsia="Times New Roman" w:cs="Arial" w:ascii="Arial" w:hAnsi="Arial"/>
          <w:b/>
          <w:bCs/>
          <w:sz w:val="20"/>
          <w:szCs w:val="24"/>
        </w:rPr>
      </w:r>
    </w:p>
    <w:p>
      <w:pPr>
        <w:pStyle w:val="Normal"/>
        <w:ind w:left="0" w:hanging="2"/>
        <w:jc w:val="right"/>
        <w:rPr/>
      </w:pPr>
      <w:r>
        <w:rPr>
          <w:rFonts w:eastAsia="Verdana" w:cs="Verdana"/>
          <w:b/>
          <w:color w:val="000000"/>
          <w:sz w:val="22"/>
          <w:szCs w:val="22"/>
        </w:rPr>
        <w:t xml:space="preserve">    </w:t>
      </w:r>
      <w:r>
        <w:rPr>
          <w:b/>
          <w:sz w:val="22"/>
          <w:szCs w:val="22"/>
        </w:rPr>
        <w:t xml:space="preserve">Spett.le   Associazione </w:t>
      </w:r>
    </w:p>
    <w:p>
      <w:pPr>
        <w:pStyle w:val="Normal"/>
        <w:widowControl/>
        <w:suppressAutoHyphens w:val="true"/>
        <w:bidi w:val="0"/>
        <w:spacing w:lineRule="auto" w:line="240"/>
        <w:ind w:left="0" w:hanging="2"/>
        <w:jc w:val="right"/>
        <w:rPr>
          <w:rStyle w:val="CollegamentoInternet"/>
          <w:rFonts w:ascii="Arial" w:hAnsi="Arial" w:eastAsia="Times New Roman" w:cs="Arial"/>
          <w:b/>
          <w:b/>
          <w:bCs/>
          <w:sz w:val="22"/>
          <w:szCs w:val="22"/>
        </w:rPr>
      </w:pPr>
      <w:r>
        <w:rPr>
          <w:rFonts w:eastAsia="Times New Roman" w:cs="Arial" w:ascii="Arial" w:hAnsi="Arial"/>
          <w:b/>
          <w:bCs/>
          <w:sz w:val="22"/>
          <w:szCs w:val="22"/>
        </w:rPr>
      </w:r>
    </w:p>
    <w:p>
      <w:pPr>
        <w:pStyle w:val="Normal"/>
        <w:spacing w:lineRule="auto" w:line="240" w:before="0" w:after="103"/>
        <w:jc w:val="right"/>
        <w:rPr>
          <w:rStyle w:val="CollegamentoInternet"/>
          <w:rFonts w:ascii="Tw Cen MT" w:hAnsi="Tw Cen MT" w:eastAsia="Calibri" w:cs="Arial"/>
          <w:b/>
          <w:b/>
          <w:bCs/>
          <w:color w:val="auto"/>
          <w:kern w:val="0"/>
          <w:sz w:val="28"/>
          <w:szCs w:val="28"/>
          <w:u w:val="single"/>
          <w:lang w:val="it-IT" w:eastAsia="en-US" w:bidi="ar-SA"/>
        </w:rPr>
      </w:pPr>
      <w:r>
        <w:rPr>
          <w:rFonts w:eastAsia="Calibri" w:cs="Arial" w:ascii="Tw Cen MT" w:hAnsi="Tw Cen MT"/>
          <w:b/>
          <w:bCs/>
          <w:color w:val="auto"/>
          <w:kern w:val="0"/>
          <w:sz w:val="28"/>
          <w:szCs w:val="28"/>
          <w:u w:val="single"/>
          <w:lang w:val="it-IT" w:eastAsia="en-US" w:bidi="ar-SA"/>
        </w:rPr>
      </w:r>
    </w:p>
    <w:p>
      <w:pPr>
        <w:pStyle w:val="Normal"/>
        <w:widowControl/>
        <w:suppressAutoHyphens w:val="true"/>
        <w:bidi w:val="0"/>
        <w:spacing w:lineRule="auto" w:line="276" w:before="0" w:after="94"/>
        <w:ind w:left="1134" w:right="0" w:hanging="1134"/>
        <w:jc w:val="both"/>
        <w:rPr/>
      </w:pPr>
      <w:r>
        <w:rPr>
          <w:rFonts w:cs="Arial" w:ascii="Arial" w:hAnsi="Arial"/>
          <w:b/>
          <w:sz w:val="20"/>
        </w:rPr>
        <w:t xml:space="preserve">OGGETTO: </w:t>
      </w:r>
      <w:r>
        <w:rPr>
          <w:sz w:val="20"/>
        </w:rPr>
        <w:t xml:space="preserve">Affidamento diretto, ai sensi dell’art. 50, comma 1, lett. b) del D.Lgs 36/2023,  per il </w:t>
      </w:r>
      <w:bookmarkStart w:id="0" w:name="__DdeLink__3840_602306718"/>
      <w:r>
        <w:rPr>
          <w:sz w:val="20"/>
        </w:rPr>
        <w:t xml:space="preserve">servizio di </w:t>
      </w:r>
      <w:r>
        <w:rPr>
          <w:rStyle w:val="Carpredefinitoparagrafo"/>
          <w:rFonts w:eastAsia="Calibri" w:cs="Bookman Old Style"/>
          <w:b w:val="false"/>
          <w:bCs w:val="false"/>
          <w:color w:val="010202"/>
          <w:spacing w:val="-1"/>
          <w:kern w:val="0"/>
          <w:sz w:val="20"/>
          <w:szCs w:val="20"/>
          <w:lang w:val="it-IT" w:eastAsia="en-US" w:bidi="ar-SA"/>
        </w:rPr>
        <w:t>intrattenimento spettacolo musicale per realizzazione “Estate Engioy 2025”</w:t>
      </w:r>
      <w:bookmarkEnd w:id="0"/>
    </w:p>
    <w:p>
      <w:pPr>
        <w:pStyle w:val="Normal"/>
        <w:widowControl/>
        <w:suppressAutoHyphens w:val="true"/>
        <w:bidi w:val="0"/>
        <w:spacing w:lineRule="auto" w:line="276" w:before="0" w:after="94"/>
        <w:ind w:left="1134" w:right="0" w:hanging="1134"/>
        <w:jc w:val="both"/>
        <w:rPr/>
      </w:pPr>
      <w:r>
        <w:rPr>
          <w:rFonts w:eastAsia="Times New Roman" w:cs="Times New Roman"/>
          <w:color w:val="000000"/>
          <w:sz w:val="20"/>
          <w:szCs w:val="20"/>
          <w:lang w:bidi="ar-SA"/>
        </w:rPr>
        <w:t>Premesso:</w:t>
      </w:r>
    </w:p>
    <w:p>
      <w:pPr>
        <w:pStyle w:val="Intestazione"/>
        <w:tabs>
          <w:tab w:val="clear" w:pos="4819"/>
          <w:tab w:val="clear" w:pos="9638"/>
        </w:tabs>
        <w:jc w:val="both"/>
        <w:rPr/>
      </w:pPr>
      <w:r>
        <w:rPr>
          <w:rStyle w:val="Carpredefinitoparagrafo"/>
          <w:rFonts w:eastAsia="Calibri" w:cs="Bookman Old Style" w:ascii="Arial" w:hAnsi="Arial"/>
          <w:b w:val="false"/>
          <w:bCs w:val="false"/>
          <w:color w:val="010202"/>
          <w:spacing w:val="-1"/>
          <w:kern w:val="0"/>
          <w:sz w:val="20"/>
          <w:szCs w:val="20"/>
          <w:lang w:eastAsia="en-US" w:bidi="ar-SA"/>
        </w:rPr>
        <w:t xml:space="preserve">Che l’Amministrazione Comunale  anche </w:t>
      </w:r>
      <w:r>
        <w:rPr>
          <w:rStyle w:val="Carpredefinitoparagrafo"/>
          <w:rFonts w:eastAsia="Calibri" w:cs="Bookman Old Style" w:ascii="Arial" w:hAnsi="Arial"/>
          <w:b w:val="false"/>
          <w:bCs w:val="false"/>
          <w:color w:val="010202"/>
          <w:spacing w:val="-1"/>
          <w:kern w:val="0"/>
          <w:sz w:val="20"/>
          <w:szCs w:val="20"/>
          <w:lang w:eastAsia="en-US" w:bidi="ar-SA"/>
        </w:rPr>
        <w:t>per l’estate 202</w:t>
      </w:r>
      <w:r>
        <w:rPr>
          <w:rStyle w:val="Carpredefinitoparagrafo"/>
          <w:rFonts w:eastAsia="Calibri" w:cs="Bookman Old Style" w:ascii="Arial" w:hAnsi="Arial"/>
          <w:b w:val="false"/>
          <w:bCs w:val="false"/>
          <w:color w:val="010202"/>
          <w:spacing w:val="-1"/>
          <w:kern w:val="0"/>
          <w:sz w:val="20"/>
          <w:szCs w:val="20"/>
          <w:lang w:eastAsia="en-US" w:bidi="ar-SA"/>
        </w:rPr>
        <w:t>5</w:t>
      </w:r>
      <w:r>
        <w:rPr>
          <w:rStyle w:val="Carpredefinitoparagrafo"/>
          <w:rFonts w:eastAsia="Calibri" w:cs="Bookman Old Style" w:ascii="Arial" w:hAnsi="Arial"/>
          <w:b w:val="false"/>
          <w:bCs w:val="false"/>
          <w:color w:val="010202"/>
          <w:spacing w:val="-1"/>
          <w:kern w:val="0"/>
          <w:sz w:val="20"/>
          <w:szCs w:val="20"/>
          <w:lang w:eastAsia="en-US" w:bidi="ar-SA"/>
        </w:rPr>
        <w:t xml:space="preserve"> ha previsto la programmazione di un cartellone di eventi che spaziano dalla musica, al teatro, al cinema, al cabaret e altro ancora,  </w:t>
      </w:r>
      <w:r>
        <w:rPr>
          <w:rStyle w:val="Carpredefinitoparagrafo"/>
          <w:rFonts w:eastAsia="Times New Roman" w:cs="Times New Roman" w:ascii="Arial" w:hAnsi="Arial"/>
          <w:b w:val="false"/>
          <w:bCs w:val="false"/>
          <w:color w:val="010202"/>
          <w:spacing w:val="-1"/>
          <w:kern w:val="0"/>
          <w:sz w:val="20"/>
          <w:szCs w:val="20"/>
          <w:lang w:eastAsia="en-US" w:bidi="ar-SA"/>
        </w:rPr>
        <w:t>con l</w:t>
      </w:r>
      <w:r>
        <w:rPr>
          <w:rStyle w:val="Carpredefinitoparagrafo"/>
          <w:rFonts w:eastAsia="Calibri" w:cs="Bookman Old Style" w:ascii="Arial" w:hAnsi="Arial"/>
          <w:b w:val="false"/>
          <w:bCs w:val="false"/>
          <w:color w:val="010202"/>
          <w:spacing w:val="-1"/>
          <w:kern w:val="0"/>
          <w:sz w:val="20"/>
          <w:szCs w:val="20"/>
          <w:lang w:eastAsia="en-US" w:bidi="ar-SA"/>
        </w:rPr>
        <w:t xml:space="preserve">o scopo di promuovere iniziative che siano indirizzate a migliorare nel territorio comunale l’ingresso e l’intrattenimento turistico, sostenendo di fatto le filiere produttive locali, quali quelle artigianali, agricole e commerciali in luoghi altrimenti marginalizzati, dando cosi occasione ai numerosi turisti e visitatori di conoscere e valorizzare le tradizioni popolari </w:t>
      </w:r>
      <w:r>
        <w:rPr>
          <w:rStyle w:val="Carpredefinitoparagrafo"/>
          <w:rFonts w:eastAsia="Calibri" w:cs="Bookman Old Style" w:ascii="Arial" w:hAnsi="Arial"/>
          <w:b w:val="false"/>
          <w:bCs w:val="false"/>
          <w:color w:val="010202"/>
          <w:spacing w:val="-1"/>
          <w:kern w:val="0"/>
          <w:sz w:val="20"/>
          <w:szCs w:val="20"/>
          <w:lang w:eastAsia="en-US" w:bidi="ar-SA"/>
        </w:rPr>
        <w:t xml:space="preserve">e religiose </w:t>
      </w:r>
      <w:r>
        <w:rPr>
          <w:rStyle w:val="Carpredefinitoparagrafo"/>
          <w:rFonts w:eastAsia="Calibri" w:cs="Bookman Old Style" w:ascii="Arial" w:hAnsi="Arial"/>
          <w:b w:val="false"/>
          <w:bCs w:val="false"/>
          <w:color w:val="010202"/>
          <w:spacing w:val="-1"/>
          <w:kern w:val="0"/>
          <w:sz w:val="20"/>
          <w:szCs w:val="20"/>
          <w:lang w:eastAsia="en-US" w:bidi="ar-SA"/>
        </w:rPr>
        <w:t>del luogo e quindi avere una ricaduta positiva sull’economia locale;</w:t>
      </w:r>
    </w:p>
    <w:p>
      <w:pPr>
        <w:pStyle w:val="Intestazione"/>
        <w:tabs>
          <w:tab w:val="clear" w:pos="4819"/>
          <w:tab w:val="clear" w:pos="9638"/>
        </w:tabs>
        <w:jc w:val="both"/>
        <w:rPr/>
      </w:pPr>
      <w:r>
        <w:rPr>
          <w:sz w:val="20"/>
          <w:szCs w:val="20"/>
        </w:rPr>
        <w:t>che l’Amministazione Comunale di Gangi</w:t>
      </w:r>
      <w:r>
        <w:rPr>
          <w:rFonts w:eastAsia="Times New Roman" w:cs="Times New Roman"/>
          <w:sz w:val="20"/>
          <w:szCs w:val="20"/>
          <w:lang w:eastAsia="it-IT"/>
        </w:rPr>
        <w:t xml:space="preserve"> intende affidare i </w:t>
      </w:r>
      <w:r>
        <w:rPr>
          <w:rFonts w:eastAsia="Times New Roman" w:cs="Times New Roman"/>
          <w:b/>
          <w:sz w:val="20"/>
          <w:szCs w:val="20"/>
          <w:lang w:eastAsia="it-IT"/>
        </w:rPr>
        <w:t>servizi</w:t>
      </w:r>
      <w:r>
        <w:rPr>
          <w:rFonts w:eastAsia="Times New Roman" w:cs="Times New Roman"/>
          <w:sz w:val="20"/>
          <w:szCs w:val="20"/>
          <w:lang w:eastAsia="it-IT"/>
        </w:rPr>
        <w:t xml:space="preserve"> in oggetto ai sensi dell’articolo 50, comma 1, lettera b), del Decreto legislativo 31 marzo 2023 n. 36</w:t>
      </w:r>
    </w:p>
    <w:p>
      <w:pPr>
        <w:pStyle w:val="Intestazione"/>
        <w:tabs>
          <w:tab w:val="clear" w:pos="4819"/>
          <w:tab w:val="clear" w:pos="9638"/>
        </w:tabs>
        <w:jc w:val="center"/>
        <w:rPr/>
      </w:pPr>
      <w:r>
        <w:rPr>
          <w:rFonts w:eastAsia="Times New Roman" w:cs="Times New Roman" w:ascii="Tw Cen MT" w:hAnsi="Tw Cen MT"/>
          <w:b/>
          <w:bCs/>
          <w:sz w:val="24"/>
          <w:szCs w:val="24"/>
          <w:lang w:eastAsia="it-IT"/>
        </w:rPr>
        <w:t>SI INVITA</w:t>
      </w:r>
    </w:p>
    <w:p>
      <w:pPr>
        <w:pStyle w:val="Normal"/>
        <w:tabs>
          <w:tab w:val="clear" w:pos="720"/>
        </w:tabs>
        <w:jc w:val="both"/>
        <w:rPr/>
      </w:pPr>
      <w:r>
        <w:rPr>
          <w:rFonts w:eastAsia="Times New Roman" w:cs="Times New Roman" w:ascii="Times New Roman" w:hAnsi="Times New Roman"/>
          <w:sz w:val="22"/>
          <w:szCs w:val="22"/>
          <w:lang w:eastAsia="it-IT"/>
        </w:rPr>
        <w:t xml:space="preserve">codesta </w:t>
      </w:r>
      <w:r>
        <w:rPr>
          <w:rFonts w:eastAsia="Times New Roman" w:cs="Times New Roman" w:ascii="Times New Roman" w:hAnsi="Times New Roman"/>
          <w:color w:val="auto"/>
          <w:kern w:val="0"/>
          <w:sz w:val="22"/>
          <w:szCs w:val="22"/>
          <w:lang w:val="it-IT" w:eastAsia="it-IT" w:bidi="ar-SA"/>
        </w:rPr>
        <w:t>Associazione</w:t>
      </w:r>
      <w:r>
        <w:rPr>
          <w:rFonts w:eastAsia="Times New Roman" w:cs="Times New Roman" w:ascii="Times New Roman" w:hAnsi="Times New Roman"/>
          <w:sz w:val="22"/>
          <w:szCs w:val="22"/>
          <w:lang w:eastAsia="it-IT"/>
        </w:rPr>
        <w:t>, fermi restando i requisiti di ammissibilità da dichiarare mediante compilazione e sottoscrizione della dichiarazione sostitutiva dell’atto di notorietà (</w:t>
      </w:r>
      <w:r>
        <w:rPr>
          <w:rFonts w:eastAsia="Times New Roman" w:cs="Times New Roman" w:ascii="Times New Roman" w:hAnsi="Times New Roman"/>
          <w:b/>
          <w:bCs/>
          <w:sz w:val="22"/>
          <w:szCs w:val="22"/>
          <w:lang w:eastAsia="it-IT"/>
        </w:rPr>
        <w:t>Allegato A</w:t>
      </w:r>
      <w:r>
        <w:rPr>
          <w:rFonts w:eastAsia="Times New Roman" w:cs="Times New Roman" w:ascii="Times New Roman" w:hAnsi="Times New Roman"/>
          <w:sz w:val="22"/>
          <w:szCs w:val="22"/>
          <w:lang w:eastAsia="it-IT"/>
        </w:rPr>
        <w:t xml:space="preserve">), a presentare il proprio miglior preventivo per l’ </w:t>
      </w:r>
      <w:r>
        <w:rPr>
          <w:rStyle w:val="Carpredefinitoparagrafo"/>
          <w:rFonts w:eastAsia="Times New Roman" w:cs="Times New Roman" w:ascii="Times New Roman" w:hAnsi="Times New Roman"/>
          <w:sz w:val="22"/>
          <w:szCs w:val="22"/>
          <w:lang w:eastAsia="it-IT"/>
        </w:rPr>
        <w:t xml:space="preserve">Affidamento del </w:t>
      </w:r>
      <w:r>
        <w:rPr>
          <w:rStyle w:val="Carpredefinitoparagrafo"/>
          <w:rFonts w:eastAsia="Times New Roman" w:cs="Times New Roman" w:ascii="Times New Roman" w:hAnsi="Times New Roman"/>
          <w:sz w:val="20"/>
          <w:szCs w:val="22"/>
          <w:lang w:eastAsia="it-IT"/>
        </w:rPr>
        <w:t xml:space="preserve">servizio di </w:t>
      </w:r>
      <w:r>
        <w:rPr>
          <w:rStyle w:val="Carpredefinitoparagrafo"/>
          <w:rFonts w:eastAsia="Calibri" w:cs="Bookman Old Style"/>
          <w:b w:val="false"/>
          <w:bCs w:val="false"/>
          <w:color w:val="010202"/>
          <w:spacing w:val="-1"/>
          <w:kern w:val="0"/>
          <w:sz w:val="20"/>
          <w:szCs w:val="20"/>
          <w:lang w:val="it-IT" w:eastAsia="en-US" w:bidi="ar-SA"/>
        </w:rPr>
        <w:t xml:space="preserve">intrattenimento spettacolo musicale per realizzazione </w:t>
      </w:r>
      <w:r>
        <w:rPr>
          <w:rStyle w:val="Carpredefinitoparagrafo"/>
          <w:rFonts w:eastAsia="Calibri" w:cs="Bookman Old Style"/>
          <w:b/>
          <w:bCs/>
          <w:color w:val="010202"/>
          <w:spacing w:val="-1"/>
          <w:kern w:val="0"/>
          <w:sz w:val="20"/>
          <w:szCs w:val="20"/>
          <w:lang w:val="it-IT" w:eastAsia="en-US" w:bidi="ar-SA"/>
        </w:rPr>
        <w:t>“Estate Engioy 2025”</w:t>
      </w:r>
      <w:r>
        <w:rPr>
          <w:rFonts w:eastAsia="Times New Roman" w:cs="Times New Roman" w:ascii="Times New Roman" w:hAnsi="Times New Roman"/>
          <w:sz w:val="22"/>
          <w:szCs w:val="22"/>
          <w:lang w:eastAsia="it-IT"/>
        </w:rPr>
        <w:t xml:space="preserve"> secondo le modalità più oltre specificate, intendendosi, con l’avvenuta presentazione dell’offerta, pienamente riconosciute e accettate tutte le modalità, le indicazioni, le condizioni e le prescrizioni che seguono previste dalla presente lettera di invito</w:t>
      </w:r>
    </w:p>
    <w:p>
      <w:pPr>
        <w:pStyle w:val="Normal"/>
        <w:numPr>
          <w:ilvl w:val="0"/>
          <w:numId w:val="2"/>
        </w:numPr>
        <w:tabs>
          <w:tab w:val="clear" w:pos="720"/>
        </w:tabs>
        <w:jc w:val="both"/>
        <w:rPr/>
      </w:pPr>
      <w:r>
        <w:rPr>
          <w:rFonts w:eastAsia="Times New Roman" w:cs="Times New Roman"/>
          <w:b/>
          <w:bCs/>
          <w:color w:val="000000"/>
          <w:sz w:val="20"/>
          <w:szCs w:val="20"/>
          <w:lang w:bidi="ar-SA"/>
        </w:rPr>
        <w:t>Oggetto dell</w:t>
      </w:r>
      <w:r>
        <w:rPr>
          <w:b/>
          <w:bCs/>
          <w:sz w:val="20"/>
          <w:szCs w:val="20"/>
        </w:rPr>
        <w:t>’appalto e prestazione</w:t>
      </w:r>
    </w:p>
    <w:p>
      <w:pPr>
        <w:pStyle w:val="Normal"/>
        <w:tabs>
          <w:tab w:val="clear" w:pos="720"/>
        </w:tabs>
        <w:jc w:val="both"/>
        <w:rPr/>
      </w:pPr>
      <w:r>
        <w:rPr>
          <w:rFonts w:eastAsia="Times New Roman" w:cs="Times New Roman"/>
          <w:color w:val="000000"/>
          <w:sz w:val="20"/>
          <w:szCs w:val="20"/>
          <w:lang w:bidi="ar-SA"/>
        </w:rPr>
        <w:t>Invito a presentare offerta per affidamento diretto previa trattativa diretta, ai sensi dell</w:t>
      </w:r>
      <w:r>
        <w:rPr>
          <w:sz w:val="20"/>
          <w:szCs w:val="20"/>
        </w:rPr>
        <w:t xml:space="preserve">’articolo 50 comma 1 lettera b) del D.Lgs. n°36/2023, di importo inferiore a 140.000 euro relativi al servizio di </w:t>
      </w:r>
      <w:r>
        <w:rPr>
          <w:rStyle w:val="Carpredefinitoparagrafo"/>
          <w:rFonts w:eastAsia="Calibri" w:cs="Bookman Old Style"/>
          <w:b w:val="false"/>
          <w:bCs w:val="false"/>
          <w:color w:val="010202"/>
          <w:spacing w:val="-1"/>
          <w:kern w:val="0"/>
          <w:sz w:val="20"/>
          <w:szCs w:val="20"/>
          <w:lang w:val="it-IT" w:eastAsia="en-US" w:bidi="ar-SA"/>
        </w:rPr>
        <w:t>intrattenimento spettacolo musicale per realizzazione “</w:t>
      </w:r>
      <w:r>
        <w:rPr>
          <w:rStyle w:val="Carpredefinitoparagrafo"/>
          <w:rFonts w:eastAsia="Calibri" w:cs="Bookman Old Style"/>
          <w:b/>
          <w:bCs/>
          <w:color w:val="010202"/>
          <w:spacing w:val="-1"/>
          <w:kern w:val="0"/>
          <w:sz w:val="20"/>
          <w:szCs w:val="20"/>
          <w:lang w:val="it-IT" w:eastAsia="en-US" w:bidi="ar-SA"/>
        </w:rPr>
        <w:t>Estate Engioy 2025</w:t>
      </w:r>
      <w:r>
        <w:rPr>
          <w:rStyle w:val="Carpredefinitoparagrafo"/>
          <w:rFonts w:eastAsia="Calibri" w:cs="Bookman Old Style"/>
          <w:b w:val="false"/>
          <w:bCs w:val="false"/>
          <w:color w:val="010202"/>
          <w:spacing w:val="-1"/>
          <w:kern w:val="0"/>
          <w:sz w:val="20"/>
          <w:szCs w:val="20"/>
          <w:lang w:val="it-IT" w:eastAsia="en-US" w:bidi="ar-SA"/>
        </w:rPr>
        <w:t>”</w:t>
      </w:r>
      <w:r>
        <w:rPr>
          <w:b/>
          <w:bCs/>
          <w:i/>
          <w:sz w:val="20"/>
          <w:szCs w:val="20"/>
        </w:rPr>
        <w:t xml:space="preserve"> </w:t>
      </w:r>
    </w:p>
    <w:p>
      <w:pPr>
        <w:pStyle w:val="Normal"/>
        <w:tabs>
          <w:tab w:val="clear" w:pos="720"/>
        </w:tabs>
        <w:spacing w:lineRule="auto" w:line="240" w:beforeAutospacing="1" w:afterAutospacing="1"/>
        <w:ind w:hanging="0"/>
        <w:jc w:val="both"/>
        <w:rPr>
          <w:rFonts w:ascii="Calibri" w:hAnsi="Calibri"/>
          <w:b w:val="false"/>
          <w:b w:val="false"/>
          <w:bCs w:val="false"/>
          <w:sz w:val="20"/>
          <w:szCs w:val="20"/>
        </w:rPr>
      </w:pPr>
      <w:r>
        <w:rPr>
          <w:rFonts w:eastAsia="Times New Roman" w:cs="Times New Roman"/>
          <w:b w:val="false"/>
          <w:bCs w:val="false"/>
          <w:i/>
          <w:sz w:val="20"/>
          <w:szCs w:val="20"/>
          <w:lang w:eastAsia="it-IT"/>
        </w:rPr>
        <w:t>Trattandosi di importo inferiore a 140.000 euro, e, fermi restando gli obblighi di utilizzo di strumenti di acquisto e di negoziazione previsti dalle vigenti disposizioni in materia di contenimento della spesa, ravvisata l’urgenza, e per il raggiungimento degli obiettivi di spesa, al fine di assicurare una procedura più snella e semplificata per l’appalto del servizio di importo non elevato, l’operatore economico può essere individuato secondo quanto previsto dall’art. 50, comma 1, lett. b) del Dlgs n.36/2023 il quale stabilisce che le stazioni appaltanti procedono all'affidamento diretto dei contratti di servizi e forniture di importo inferiore a € 140.000,00,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p>
    <w:p>
      <w:pPr>
        <w:pStyle w:val="Normal"/>
        <w:tabs>
          <w:tab w:val="clear" w:pos="720"/>
        </w:tabs>
        <w:jc w:val="both"/>
        <w:rPr/>
      </w:pPr>
      <w:r>
        <w:rPr>
          <w:i w:val="false"/>
          <w:strike w:val="false"/>
          <w:dstrike w:val="false"/>
          <w:sz w:val="20"/>
          <w:szCs w:val="20"/>
          <w:u w:val="none"/>
        </w:rPr>
        <w:t xml:space="preserve">Con la presente, si invita Codesto Operatore Economico a presentare offerta per l’affidamento diretto del servizio indicato in oggetto, tramite   la piattoforma “Me.Pa.” disponibile all'indirizzo web: </w:t>
      </w:r>
      <w:hyperlink r:id="rId3">
        <w:r>
          <w:rPr>
            <w:rStyle w:val="CollegamentoInternet"/>
            <w:i w:val="false"/>
            <w:strike w:val="false"/>
            <w:dstrike w:val="false"/>
            <w:sz w:val="20"/>
            <w:szCs w:val="20"/>
            <w:u w:val="none"/>
          </w:rPr>
          <w:t>https://</w:t>
        </w:r>
        <w:r>
          <w:rPr>
            <w:rStyle w:val="CollegamentoInternet"/>
            <w:rFonts w:eastAsia="Calibri" w:cs="" w:cstheme="minorBidi" w:eastAsiaTheme="minorHAnsi"/>
            <w:i w:val="false"/>
            <w:strike w:val="false"/>
            <w:dstrike w:val="false"/>
            <w:color w:val="auto"/>
            <w:kern w:val="0"/>
            <w:sz w:val="20"/>
            <w:szCs w:val="20"/>
            <w:u w:val="none"/>
            <w:lang w:val="it-IT" w:eastAsia="en-US" w:bidi="ar-SA"/>
          </w:rPr>
          <w:t>www.acquisti</w:t>
        </w:r>
      </w:hyperlink>
      <w:r>
        <w:rPr>
          <w:rFonts w:eastAsia="Calibri" w:cs="" w:cstheme="minorBidi" w:eastAsiaTheme="minorHAnsi"/>
          <w:i w:val="false"/>
          <w:strike w:val="false"/>
          <w:dstrike w:val="false"/>
          <w:color w:val="auto"/>
          <w:kern w:val="0"/>
          <w:sz w:val="20"/>
          <w:szCs w:val="20"/>
          <w:u w:val="none"/>
          <w:lang w:val="it-IT" w:eastAsia="en-US" w:bidi="ar-SA"/>
        </w:rPr>
        <w:t>nretepa.it</w:t>
      </w:r>
      <w:r>
        <w:rPr>
          <w:i w:val="false"/>
          <w:strike w:val="false"/>
          <w:dstrike w:val="false"/>
          <w:sz w:val="20"/>
          <w:szCs w:val="20"/>
          <w:u w:val="none"/>
        </w:rPr>
        <w:t xml:space="preserve"> </w:t>
      </w:r>
    </w:p>
    <w:p>
      <w:pPr>
        <w:pStyle w:val="Normal"/>
        <w:tabs>
          <w:tab w:val="clear" w:pos="720"/>
        </w:tabs>
        <w:jc w:val="both"/>
        <w:rPr/>
      </w:pPr>
      <w:r>
        <w:rPr>
          <w:i w:val="false"/>
          <w:strike w:val="false"/>
          <w:dstrike w:val="false"/>
          <w:sz w:val="20"/>
          <w:szCs w:val="20"/>
          <w:u w:val="none"/>
        </w:rPr>
        <w:t xml:space="preserve">Codesto Operatore Economico potrà partecipare alla procedura di affidamento in oggetto solo se in possesso, alla data di indizione della stessa, dei requisiti di ordine generale ex art. 94 e 95 del codice e dei requisiti di idoneità professionale ed economico finanziaria di cui all’art. 100 comma 1 lettera a) e lettera b). </w:t>
      </w:r>
    </w:p>
    <w:p>
      <w:pPr>
        <w:pStyle w:val="Normal"/>
        <w:numPr>
          <w:ilvl w:val="0"/>
          <w:numId w:val="3"/>
        </w:numPr>
        <w:tabs>
          <w:tab w:val="clear" w:pos="720"/>
        </w:tabs>
        <w:jc w:val="both"/>
        <w:rPr/>
      </w:pPr>
      <w:r>
        <w:rPr>
          <w:b/>
          <w:i w:val="false"/>
          <w:strike w:val="false"/>
          <w:dstrike w:val="false"/>
          <w:sz w:val="20"/>
          <w:szCs w:val="20"/>
          <w:u w:val="none"/>
        </w:rPr>
        <w:t xml:space="preserve">Prestazioni del servizio: </w:t>
      </w:r>
    </w:p>
    <w:p>
      <w:pPr>
        <w:pStyle w:val="Normal"/>
        <w:widowControl/>
        <w:numPr>
          <w:ilvl w:val="0"/>
          <w:numId w:val="0"/>
        </w:numPr>
        <w:tabs>
          <w:tab w:val="clear" w:pos="720"/>
        </w:tabs>
        <w:suppressAutoHyphens w:val="true"/>
        <w:bidi w:val="0"/>
        <w:spacing w:lineRule="auto" w:line="276" w:before="0" w:after="94"/>
        <w:ind w:left="0" w:right="0" w:hanging="0"/>
        <w:jc w:val="both"/>
        <w:rPr/>
      </w:pPr>
      <w:r>
        <w:rPr>
          <w:b w:val="false"/>
          <w:strike w:val="false"/>
          <w:dstrike w:val="false"/>
          <w:sz w:val="20"/>
          <w:szCs w:val="20"/>
          <w:u w:val="none"/>
        </w:rPr>
        <w:t xml:space="preserve">Servizio di </w:t>
      </w:r>
      <w:r>
        <w:rPr>
          <w:rStyle w:val="Carpredefinitoparagrafo"/>
          <w:rFonts w:eastAsia="Calibri" w:cs="Bookman Old Style"/>
          <w:b w:val="false"/>
          <w:bCs w:val="false"/>
          <w:strike w:val="false"/>
          <w:dstrike w:val="false"/>
          <w:color w:val="010202"/>
          <w:spacing w:val="-1"/>
          <w:kern w:val="0"/>
          <w:sz w:val="20"/>
          <w:szCs w:val="20"/>
          <w:u w:val="none"/>
          <w:lang w:eastAsia="en-US" w:bidi="ar-SA"/>
        </w:rPr>
        <w:t xml:space="preserve">animazione liturgica della Banda Musicale Santa Cecilia delle giornate del 08 e 09 giugno 2025 compresa la Processione </w:t>
      </w:r>
      <w:r>
        <w:rPr>
          <w:b w:val="false"/>
          <w:strike w:val="false"/>
          <w:dstrike w:val="false"/>
          <w:sz w:val="20"/>
          <w:szCs w:val="20"/>
          <w:u w:val="none"/>
        </w:rPr>
        <w:t>in occasione della Festività della Pentecoste 2025</w:t>
      </w:r>
    </w:p>
    <w:p>
      <w:pPr>
        <w:pStyle w:val="Normal"/>
        <w:numPr>
          <w:ilvl w:val="0"/>
          <w:numId w:val="3"/>
        </w:numPr>
        <w:tabs>
          <w:tab w:val="clear" w:pos="720"/>
        </w:tabs>
        <w:jc w:val="both"/>
        <w:rPr>
          <w:rFonts w:ascii="Calibri" w:hAnsi="Calibri"/>
          <w:sz w:val="20"/>
          <w:szCs w:val="20"/>
        </w:rPr>
      </w:pPr>
      <w:r>
        <w:rPr>
          <w:b/>
          <w:bCs/>
          <w:i w:val="false"/>
          <w:strike w:val="false"/>
          <w:dstrike w:val="false"/>
          <w:sz w:val="20"/>
          <w:szCs w:val="20"/>
          <w:u w:val="none"/>
        </w:rPr>
        <w:t>Decisione a contrarre</w:t>
      </w:r>
    </w:p>
    <w:p>
      <w:pPr>
        <w:pStyle w:val="Normal"/>
        <w:widowControl/>
        <w:numPr>
          <w:ilvl w:val="0"/>
          <w:numId w:val="0"/>
        </w:numPr>
        <w:tabs>
          <w:tab w:val="clear" w:pos="720"/>
        </w:tabs>
        <w:suppressAutoHyphens w:val="true"/>
        <w:bidi w:val="0"/>
        <w:spacing w:lineRule="auto" w:line="276" w:before="0" w:after="200"/>
        <w:ind w:left="0" w:right="0" w:hanging="0"/>
        <w:jc w:val="both"/>
        <w:rPr/>
      </w:pPr>
      <w:r>
        <w:rPr>
          <w:i w:val="false"/>
          <w:strike w:val="false"/>
          <w:dstrike w:val="false"/>
          <w:sz w:val="20"/>
          <w:szCs w:val="20"/>
          <w:u w:val="none"/>
        </w:rPr>
        <w:t>L’atto di affidamento verr</w:t>
      </w:r>
      <w:r>
        <w:rPr>
          <w:sz w:val="20"/>
          <w:szCs w:val="20"/>
        </w:rPr>
        <w:t xml:space="preserve">à emanato con le modalità di cui all’art. 17 c.2 del D.Lgs 36/2023, successivamente alla positiva conclusione della trattativa diretta. </w:t>
      </w:r>
    </w:p>
    <w:p>
      <w:pPr>
        <w:pStyle w:val="Normal"/>
        <w:numPr>
          <w:ilvl w:val="0"/>
          <w:numId w:val="3"/>
        </w:numPr>
        <w:tabs>
          <w:tab w:val="clear" w:pos="720"/>
        </w:tabs>
        <w:jc w:val="both"/>
        <w:rPr>
          <w:rFonts w:ascii="Calibri" w:hAnsi="Calibri"/>
          <w:sz w:val="20"/>
          <w:szCs w:val="20"/>
        </w:rPr>
      </w:pPr>
      <w:r>
        <w:rPr>
          <w:b/>
          <w:sz w:val="20"/>
          <w:szCs w:val="20"/>
        </w:rPr>
        <w:t xml:space="preserve">Tempi di esecuzione </w:t>
      </w:r>
    </w:p>
    <w:p>
      <w:pPr>
        <w:pStyle w:val="Normal"/>
        <w:widowControl/>
        <w:numPr>
          <w:ilvl w:val="0"/>
          <w:numId w:val="0"/>
        </w:numPr>
        <w:tabs>
          <w:tab w:val="clear" w:pos="720"/>
        </w:tabs>
        <w:suppressAutoHyphens w:val="true"/>
        <w:bidi w:val="0"/>
        <w:spacing w:lineRule="auto" w:line="276" w:before="0" w:after="200"/>
        <w:ind w:left="0" w:right="0" w:hanging="0"/>
        <w:jc w:val="both"/>
        <w:rPr/>
      </w:pPr>
      <w:r>
        <w:rPr>
          <w:b w:val="false"/>
          <w:strike w:val="false"/>
          <w:dstrike w:val="false"/>
          <w:sz w:val="20"/>
          <w:szCs w:val="20"/>
          <w:u w:val="none"/>
        </w:rPr>
        <w:t>Il tempo di esecuzione del servizio afferente  l’</w:t>
      </w:r>
      <w:r>
        <w:rPr>
          <w:rStyle w:val="Carpredefinitoparagrafo"/>
          <w:rFonts w:eastAsia="Calibri" w:cs="Bookman Old Style"/>
          <w:b w:val="false"/>
          <w:bCs w:val="false"/>
          <w:strike w:val="false"/>
          <w:dstrike w:val="false"/>
          <w:color w:val="010202"/>
          <w:spacing w:val="-1"/>
          <w:kern w:val="0"/>
          <w:sz w:val="20"/>
          <w:szCs w:val="20"/>
          <w:u w:val="none"/>
          <w:lang w:eastAsia="en-US" w:bidi="ar-SA"/>
        </w:rPr>
        <w:t xml:space="preserve">animazione liturgica della Banda Musicale Santa Cecilia delle giornate del 08 e 09 giugno 2025 compresa la Processione </w:t>
      </w:r>
      <w:r>
        <w:rPr>
          <w:rFonts w:eastAsia="Times New Roman" w:cs="Times New Roman"/>
          <w:b w:val="false"/>
          <w:strike w:val="false"/>
          <w:dstrike w:val="false"/>
          <w:color w:val="000000"/>
          <w:sz w:val="20"/>
          <w:szCs w:val="20"/>
          <w:u w:val="none"/>
          <w:lang w:bidi="ar-SA"/>
        </w:rPr>
        <w:t xml:space="preserve"> è inerente alla realizzazione della festività della Pentecoste 2025 </w:t>
      </w:r>
    </w:p>
    <w:p>
      <w:pPr>
        <w:pStyle w:val="Normal"/>
        <w:numPr>
          <w:ilvl w:val="0"/>
          <w:numId w:val="3"/>
        </w:numPr>
        <w:tabs>
          <w:tab w:val="clear" w:pos="720"/>
        </w:tabs>
        <w:jc w:val="both"/>
        <w:rPr>
          <w:rFonts w:ascii="Calibri" w:hAnsi="Calibri"/>
          <w:sz w:val="20"/>
          <w:szCs w:val="20"/>
        </w:rPr>
      </w:pPr>
      <w:r>
        <w:rPr>
          <w:b/>
          <w:sz w:val="20"/>
          <w:szCs w:val="20"/>
        </w:rPr>
        <w:t xml:space="preserve">Importo stimato del servizio </w:t>
      </w:r>
    </w:p>
    <w:p>
      <w:pPr>
        <w:pStyle w:val="Normal"/>
        <w:widowControl/>
        <w:numPr>
          <w:ilvl w:val="0"/>
          <w:numId w:val="0"/>
        </w:numPr>
        <w:tabs>
          <w:tab w:val="clear" w:pos="720"/>
        </w:tabs>
        <w:suppressAutoHyphens w:val="true"/>
        <w:bidi w:val="0"/>
        <w:spacing w:lineRule="auto" w:line="276" w:before="0" w:after="200"/>
        <w:ind w:left="0" w:right="0" w:hanging="0"/>
        <w:jc w:val="both"/>
        <w:rPr/>
      </w:pPr>
      <w:r>
        <w:rPr>
          <w:rFonts w:eastAsia="Calibri" w:cs="" w:cstheme="minorBidi" w:eastAsiaTheme="minorHAnsi"/>
          <w:b w:val="false"/>
          <w:strike w:val="false"/>
          <w:dstrike w:val="false"/>
          <w:color w:val="auto"/>
          <w:kern w:val="0"/>
          <w:sz w:val="20"/>
          <w:szCs w:val="20"/>
          <w:u w:val="none"/>
          <w:lang w:val="it-IT" w:eastAsia="en-US" w:bidi="ar-SA"/>
        </w:rPr>
        <w:t xml:space="preserve">L’importo complessivo dell’affidamento è di €. </w:t>
      </w:r>
      <w:r>
        <w:rPr>
          <w:rFonts w:eastAsia="Calibri" w:cs="" w:cstheme="minorBidi" w:eastAsiaTheme="minorHAnsi"/>
          <w:b/>
          <w:bCs/>
          <w:strike w:val="false"/>
          <w:dstrike w:val="false"/>
          <w:color w:val="auto"/>
          <w:kern w:val="0"/>
          <w:sz w:val="20"/>
          <w:szCs w:val="20"/>
          <w:u w:val="none"/>
          <w:lang w:val="it-IT" w:eastAsia="en-US" w:bidi="ar-SA"/>
        </w:rPr>
        <w:t xml:space="preserve"> __________</w:t>
      </w:r>
      <w:r>
        <w:rPr>
          <w:rFonts w:eastAsia="Calibri" w:cs="" w:cstheme="minorBidi" w:eastAsiaTheme="minorHAnsi"/>
          <w:b/>
          <w:bCs/>
          <w:strike w:val="false"/>
          <w:dstrike w:val="false"/>
          <w:color w:val="auto"/>
          <w:kern w:val="0"/>
          <w:sz w:val="20"/>
          <w:szCs w:val="20"/>
          <w:u w:val="none"/>
          <w:lang w:val="it-IT" w:eastAsia="en-US" w:bidi="ar-SA"/>
        </w:rPr>
        <w:t>i</w:t>
      </w:r>
      <w:r>
        <w:rPr>
          <w:rFonts w:eastAsia="Calibri" w:cs="" w:cstheme="minorBidi" w:eastAsiaTheme="minorHAnsi"/>
          <w:b/>
          <w:bCs/>
          <w:strike w:val="false"/>
          <w:dstrike w:val="false"/>
          <w:color w:val="auto"/>
          <w:kern w:val="0"/>
          <w:sz w:val="20"/>
          <w:szCs w:val="20"/>
          <w:u w:val="none"/>
          <w:lang w:val="it-IT" w:eastAsia="en-US" w:bidi="ar-SA"/>
        </w:rPr>
        <w:t xml:space="preserve">ncluso Iva </w:t>
      </w:r>
    </w:p>
    <w:p>
      <w:pPr>
        <w:pStyle w:val="Normal"/>
        <w:numPr>
          <w:ilvl w:val="0"/>
          <w:numId w:val="3"/>
        </w:numPr>
        <w:tabs>
          <w:tab w:val="clear" w:pos="720"/>
        </w:tabs>
        <w:jc w:val="both"/>
        <w:rPr>
          <w:rFonts w:ascii="Calibri" w:hAnsi="Calibri"/>
          <w:sz w:val="20"/>
          <w:szCs w:val="20"/>
        </w:rPr>
      </w:pPr>
      <w:r>
        <w:rPr>
          <w:b/>
          <w:bCs/>
          <w:sz w:val="20"/>
          <w:szCs w:val="20"/>
        </w:rPr>
        <w:t xml:space="preserve">PROCEDURA DI AFFIDAMENTO </w:t>
      </w:r>
    </w:p>
    <w:p>
      <w:pPr>
        <w:pStyle w:val="Normal"/>
        <w:widowControl/>
        <w:numPr>
          <w:ilvl w:val="0"/>
          <w:numId w:val="0"/>
        </w:numPr>
        <w:tabs>
          <w:tab w:val="clear" w:pos="720"/>
        </w:tabs>
        <w:suppressAutoHyphens w:val="true"/>
        <w:bidi w:val="0"/>
        <w:spacing w:lineRule="auto" w:line="276" w:before="0" w:after="200"/>
        <w:ind w:left="0" w:right="0" w:hanging="0"/>
        <w:jc w:val="both"/>
        <w:rPr/>
      </w:pPr>
      <w:r>
        <w:rPr>
          <w:strike w:val="false"/>
          <w:dstrike w:val="false"/>
          <w:sz w:val="20"/>
          <w:szCs w:val="20"/>
          <w:u w:val="none"/>
        </w:rPr>
        <w:t xml:space="preserve">Affidamento diretto, ai sensi dell’art. 50, comma 1, lettera b) del codice, previa trattiva diretta, per il servizio in oggetto “…di importo inferiore a 140.000,00 euro, anche  </w:t>
      </w:r>
      <w:r>
        <w:rPr>
          <w:sz w:val="20"/>
          <w:szCs w:val="20"/>
        </w:rPr>
        <w:t xml:space="preserve">senza consultazione di più̀ operatori economici, assicurando che siano scelti soggetti in possesso di documentate esperienze pregresse idonee all’esecuzione delle prestazioni contrattuali, anche individuati tra gli iscritti in elenchi o albi istituiti dalla stazione appaltante”. </w:t>
      </w:r>
    </w:p>
    <w:p>
      <w:pPr>
        <w:pStyle w:val="Normal"/>
        <w:numPr>
          <w:ilvl w:val="0"/>
          <w:numId w:val="3"/>
        </w:numPr>
        <w:jc w:val="both"/>
        <w:rPr/>
      </w:pPr>
      <w:r>
        <w:rPr>
          <w:b/>
          <w:bCs/>
          <w:sz w:val="20"/>
          <w:szCs w:val="20"/>
        </w:rPr>
        <w:t>Condizioni di partecipazione</w:t>
      </w:r>
    </w:p>
    <w:p>
      <w:pPr>
        <w:pStyle w:val="Normal"/>
        <w:widowControl/>
        <w:numPr>
          <w:ilvl w:val="0"/>
          <w:numId w:val="0"/>
        </w:numPr>
        <w:suppressAutoHyphens w:val="true"/>
        <w:bidi w:val="0"/>
        <w:spacing w:lineRule="auto" w:line="276" w:before="0" w:after="200"/>
        <w:ind w:left="0" w:right="0" w:hanging="0"/>
        <w:jc w:val="both"/>
        <w:rPr/>
      </w:pPr>
      <w:r>
        <w:rPr>
          <w:strike w:val="false"/>
          <w:dstrike w:val="false"/>
          <w:sz w:val="20"/>
          <w:szCs w:val="20"/>
          <w:u w:val="none"/>
        </w:rPr>
        <w:t xml:space="preserve">L’Operatore Economico,  di cui al punto precedente, può accettare la proposta di affidamento dei servizi in oggetto solo se in possesso, alla data di ricezione della lettera di invito ed al momento dell’affidamento, dei seguenti requisiti: </w:t>
      </w:r>
    </w:p>
    <w:p>
      <w:pPr>
        <w:pStyle w:val="Normal"/>
        <w:numPr>
          <w:ilvl w:val="0"/>
          <w:numId w:val="0"/>
        </w:numPr>
        <w:ind w:left="720" w:hanging="0"/>
        <w:jc w:val="both"/>
        <w:rPr/>
      </w:pPr>
      <w:r>
        <w:rPr>
          <w:sz w:val="20"/>
          <w:szCs w:val="20"/>
        </w:rPr>
        <w:t>7</w:t>
      </w:r>
      <w:r>
        <w:rPr>
          <w:b/>
          <w:strike w:val="false"/>
          <w:dstrike w:val="false"/>
          <w:sz w:val="20"/>
          <w:szCs w:val="20"/>
          <w:u w:val="none"/>
        </w:rPr>
        <w:t>.1  Requisiti di ordine generale</w:t>
      </w:r>
    </w:p>
    <w:p>
      <w:pPr>
        <w:pStyle w:val="Normal"/>
        <w:widowControl/>
        <w:numPr>
          <w:ilvl w:val="0"/>
          <w:numId w:val="0"/>
        </w:numPr>
        <w:suppressAutoHyphens w:val="true"/>
        <w:bidi w:val="0"/>
        <w:spacing w:lineRule="auto" w:line="276" w:before="0" w:after="200"/>
        <w:ind w:left="0" w:right="0" w:hanging="0"/>
        <w:jc w:val="both"/>
        <w:rPr/>
      </w:pPr>
      <w:r>
        <w:rPr>
          <w:b w:val="false"/>
          <w:strike w:val="false"/>
          <w:dstrike w:val="false"/>
          <w:sz w:val="20"/>
          <w:szCs w:val="20"/>
          <w:u w:val="none"/>
        </w:rPr>
        <w:t xml:space="preserve">L’Operatore Economico deve essere in possesso dei requisiti di ordine generale e non deve essere dunque soggetto a nessuna delle cause di esclusione di cui agli articoli 94 e 95 del codice. </w:t>
      </w:r>
    </w:p>
    <w:p>
      <w:pPr>
        <w:pStyle w:val="Normal"/>
        <w:numPr>
          <w:ilvl w:val="0"/>
          <w:numId w:val="0"/>
        </w:numPr>
        <w:ind w:left="720" w:hanging="0"/>
        <w:rPr/>
      </w:pPr>
      <w:r>
        <w:rPr>
          <w:b/>
          <w:bCs/>
          <w:strike w:val="false"/>
          <w:dstrike w:val="false"/>
          <w:sz w:val="20"/>
          <w:szCs w:val="20"/>
          <w:u w:val="none"/>
        </w:rPr>
        <w:t>7.2 Requisiti di idoneit</w:t>
      </w:r>
      <w:r>
        <w:rPr>
          <w:b/>
          <w:bCs/>
          <w:sz w:val="20"/>
          <w:szCs w:val="20"/>
        </w:rPr>
        <w:t>à professionale</w:t>
      </w:r>
    </w:p>
    <w:p>
      <w:pPr>
        <w:pStyle w:val="Normal"/>
        <w:numPr>
          <w:ilvl w:val="0"/>
          <w:numId w:val="0"/>
        </w:numPr>
        <w:ind w:left="720" w:hanging="0"/>
        <w:rPr>
          <w:rFonts w:ascii="Calibri" w:hAnsi="Calibri"/>
          <w:sz w:val="20"/>
          <w:szCs w:val="20"/>
        </w:rPr>
      </w:pPr>
      <w:r>
        <w:rPr>
          <w:sz w:val="20"/>
          <w:szCs w:val="20"/>
        </w:rPr>
        <w:t xml:space="preserve"> </w:t>
      </w:r>
      <w:r>
        <w:rPr>
          <w:strike w:val="false"/>
          <w:dstrike w:val="false"/>
          <w:sz w:val="20"/>
          <w:szCs w:val="20"/>
          <w:u w:val="none"/>
        </w:rPr>
        <w:t xml:space="preserve">l requisiti minimi di idoneità professionale, che devono essere posseduti dall’O.E., sono i seguenti: </w:t>
      </w:r>
    </w:p>
    <w:p>
      <w:pPr>
        <w:pStyle w:val="Normal"/>
        <w:widowControl/>
        <w:numPr>
          <w:ilvl w:val="0"/>
          <w:numId w:val="9"/>
        </w:numPr>
        <w:suppressAutoHyphens w:val="true"/>
        <w:bidi w:val="0"/>
        <w:spacing w:lineRule="auto" w:line="240" w:before="0" w:after="0"/>
        <w:ind w:left="737" w:right="0" w:hanging="0"/>
        <w:jc w:val="both"/>
        <w:rPr/>
      </w:pPr>
      <w:r>
        <w:rPr>
          <w:sz w:val="22"/>
        </w:rPr>
        <w:t>di aver realizzato servizi analoghi per conto di questo  Ente negli ultimi tre anni;</w:t>
      </w:r>
    </w:p>
    <w:p>
      <w:pPr>
        <w:pStyle w:val="Normal"/>
        <w:widowControl/>
        <w:numPr>
          <w:ilvl w:val="0"/>
          <w:numId w:val="9"/>
        </w:numPr>
        <w:suppressAutoHyphens w:val="true"/>
        <w:bidi w:val="0"/>
        <w:spacing w:lineRule="auto" w:line="240" w:before="0" w:after="0"/>
        <w:ind w:left="737" w:right="0" w:hanging="0"/>
        <w:jc w:val="both"/>
        <w:rPr/>
      </w:pPr>
      <w:r>
        <w:rPr>
          <w:rFonts w:eastAsia="Times New Roman" w:cs="Times New Roman"/>
          <w:i w:val="false"/>
          <w:strike w:val="false"/>
          <w:dstrike w:val="false"/>
          <w:sz w:val="20"/>
          <w:szCs w:val="20"/>
          <w:u w:val="none"/>
          <w:lang w:eastAsia="it-IT"/>
        </w:rPr>
        <w:t xml:space="preserve">abilitazione alla piattaforma Me.Pa </w:t>
      </w:r>
    </w:p>
    <w:p>
      <w:pPr>
        <w:pStyle w:val="Normal"/>
        <w:widowControl/>
        <w:numPr>
          <w:ilvl w:val="0"/>
          <w:numId w:val="0"/>
        </w:numPr>
        <w:suppressAutoHyphens w:val="true"/>
        <w:bidi w:val="0"/>
        <w:spacing w:lineRule="auto" w:line="276" w:before="0" w:after="200"/>
        <w:ind w:left="0" w:right="0" w:hanging="0"/>
        <w:jc w:val="both"/>
        <w:rPr/>
      </w:pPr>
      <w:r>
        <w:rPr>
          <w:sz w:val="20"/>
          <w:szCs w:val="20"/>
        </w:rPr>
        <w:t xml:space="preserve"> </w:t>
      </w:r>
      <w:r>
        <w:rPr>
          <w:strike w:val="false"/>
          <w:dstrike w:val="false"/>
          <w:sz w:val="20"/>
          <w:szCs w:val="20"/>
          <w:u w:val="none"/>
        </w:rPr>
        <w:t>Inoltre dovrà dichiarare:</w:t>
      </w:r>
    </w:p>
    <w:p>
      <w:pPr>
        <w:pStyle w:val="Normal"/>
        <w:widowControl/>
        <w:numPr>
          <w:ilvl w:val="0"/>
          <w:numId w:val="4"/>
        </w:numPr>
        <w:suppressAutoHyphens w:val="true"/>
        <w:bidi w:val="0"/>
        <w:spacing w:lineRule="auto" w:line="276" w:before="0" w:after="200"/>
        <w:ind w:left="964" w:right="0" w:hanging="227"/>
        <w:jc w:val="both"/>
        <w:rPr/>
      </w:pPr>
      <w:r>
        <w:rPr>
          <w:strike w:val="false"/>
          <w:dstrike w:val="false"/>
          <w:sz w:val="20"/>
          <w:szCs w:val="20"/>
          <w:u w:val="none"/>
        </w:rPr>
        <w:t>a) di non avere nulla a pretendere in caso di mancata stipula del contratto, ad insindacabile giudizio dell’Amministrazione;</w:t>
      </w:r>
    </w:p>
    <w:p>
      <w:pPr>
        <w:pStyle w:val="Normal"/>
        <w:widowControl/>
        <w:numPr>
          <w:ilvl w:val="0"/>
          <w:numId w:val="4"/>
        </w:numPr>
        <w:suppressAutoHyphens w:val="true"/>
        <w:bidi w:val="0"/>
        <w:spacing w:lineRule="auto" w:line="276" w:before="0" w:after="200"/>
        <w:ind w:left="964" w:right="0" w:hanging="227"/>
        <w:jc w:val="both"/>
        <w:rPr/>
      </w:pPr>
      <w:r>
        <w:rPr>
          <w:strike w:val="false"/>
          <w:dstrike w:val="false"/>
          <w:sz w:val="20"/>
          <w:szCs w:val="20"/>
          <w:u w:val="none"/>
        </w:rPr>
        <w:t>b)  di obbligarsi, in caso di aggiudicazione, ad indicare un numero di c/c bancario o postale unico, sul quale la Stazione Appaltante farà confluire tutte le somme relative all’appalto</w:t>
      </w:r>
    </w:p>
    <w:p>
      <w:pPr>
        <w:pStyle w:val="Normal"/>
        <w:widowControl/>
        <w:numPr>
          <w:ilvl w:val="0"/>
          <w:numId w:val="8"/>
        </w:numPr>
        <w:suppressAutoHyphens w:val="true"/>
        <w:bidi w:val="0"/>
        <w:spacing w:lineRule="auto" w:line="276" w:before="0" w:after="200"/>
        <w:ind w:left="907" w:right="0" w:hanging="340"/>
        <w:jc w:val="both"/>
        <w:rPr/>
      </w:pPr>
      <w:r>
        <w:rPr>
          <w:b/>
          <w:bCs/>
          <w:sz w:val="20"/>
          <w:szCs w:val="20"/>
        </w:rPr>
        <w:t xml:space="preserve">Modalità di presentazione </w:t>
      </w:r>
    </w:p>
    <w:p>
      <w:pPr>
        <w:pStyle w:val="Normal"/>
        <w:spacing w:lineRule="auto" w:line="240" w:before="0" w:after="29"/>
        <w:jc w:val="both"/>
        <w:rPr/>
      </w:pPr>
      <w:r>
        <w:rPr>
          <w:sz w:val="20"/>
          <w:szCs w:val="20"/>
        </w:rPr>
        <w:t xml:space="preserve">La presente procedura di affidamento diretto verrà predisposta sul portale </w:t>
      </w:r>
      <w:r>
        <w:rPr>
          <w:i w:val="false"/>
          <w:strike w:val="false"/>
          <w:dstrike w:val="false"/>
          <w:sz w:val="20"/>
          <w:szCs w:val="20"/>
          <w:u w:val="none"/>
        </w:rPr>
        <w:t xml:space="preserve">web: </w:t>
      </w:r>
      <w:hyperlink r:id="rId4">
        <w:r>
          <w:rPr>
            <w:rStyle w:val="CollegamentoInternet"/>
            <w:i w:val="false"/>
            <w:strike w:val="false"/>
            <w:dstrike w:val="false"/>
            <w:sz w:val="20"/>
            <w:szCs w:val="20"/>
            <w:u w:val="none"/>
          </w:rPr>
          <w:t>https://</w:t>
        </w:r>
        <w:r>
          <w:rPr>
            <w:rStyle w:val="CollegamentoInternet"/>
            <w:rFonts w:eastAsia="Calibri" w:cs="" w:cstheme="minorBidi" w:eastAsiaTheme="minorHAnsi"/>
            <w:i w:val="false"/>
            <w:strike w:val="false"/>
            <w:dstrike w:val="false"/>
            <w:color w:val="auto"/>
            <w:kern w:val="0"/>
            <w:sz w:val="20"/>
            <w:szCs w:val="20"/>
            <w:u w:val="none"/>
            <w:lang w:val="it-IT" w:eastAsia="en-US" w:bidi="ar-SA"/>
          </w:rPr>
          <w:t>www.acquisti</w:t>
        </w:r>
      </w:hyperlink>
      <w:r>
        <w:rPr>
          <w:rFonts w:eastAsia="Calibri" w:cs="" w:cstheme="minorBidi" w:eastAsiaTheme="minorHAnsi"/>
          <w:i w:val="false"/>
          <w:strike w:val="false"/>
          <w:dstrike w:val="false"/>
          <w:color w:val="auto"/>
          <w:kern w:val="0"/>
          <w:sz w:val="20"/>
          <w:szCs w:val="20"/>
          <w:u w:val="none"/>
          <w:lang w:val="it-IT" w:eastAsia="en-US" w:bidi="ar-SA"/>
        </w:rPr>
        <w:t>nretepa.it</w:t>
      </w:r>
      <w:r>
        <w:rPr>
          <w:i w:val="false"/>
          <w:strike w:val="false"/>
          <w:dstrike w:val="false"/>
          <w:sz w:val="20"/>
          <w:szCs w:val="20"/>
          <w:u w:val="none"/>
        </w:rPr>
        <w:t xml:space="preserve"> </w:t>
      </w:r>
    </w:p>
    <w:p>
      <w:pPr>
        <w:pStyle w:val="Normal"/>
        <w:spacing w:lineRule="auto" w:line="240" w:before="0" w:after="29"/>
        <w:jc w:val="both"/>
        <w:rPr>
          <w:rFonts w:ascii="Calibri" w:hAnsi="Calibri"/>
          <w:sz w:val="20"/>
          <w:szCs w:val="20"/>
        </w:rPr>
      </w:pPr>
      <w:r>
        <w:rPr>
          <w:sz w:val="20"/>
          <w:szCs w:val="20"/>
        </w:rPr>
        <w:t xml:space="preserve"> </w:t>
      </w:r>
      <w:r>
        <w:rPr>
          <w:strike w:val="false"/>
          <w:dstrike w:val="false"/>
          <w:sz w:val="20"/>
          <w:szCs w:val="20"/>
          <w:u w:val="none"/>
        </w:rPr>
        <w:t>L’operatore economico partecipante dovrà fornire, postandoli sul portale sopra indicato i seguenti docu</w:t>
        <w:softHyphen/>
        <w:t>menti:</w:t>
      </w:r>
    </w:p>
    <w:p>
      <w:pPr>
        <w:pStyle w:val="Normal"/>
        <w:numPr>
          <w:ilvl w:val="0"/>
          <w:numId w:val="5"/>
        </w:numPr>
        <w:spacing w:lineRule="auto" w:line="240" w:before="0" w:after="29"/>
        <w:jc w:val="both"/>
        <w:rPr/>
      </w:pPr>
      <w:r>
        <w:rPr>
          <w:strike w:val="false"/>
          <w:dstrike w:val="false"/>
          <w:sz w:val="20"/>
          <w:szCs w:val="20"/>
          <w:u w:val="none"/>
        </w:rPr>
        <w:t xml:space="preserve">Modello A “ </w:t>
      </w:r>
      <w:r>
        <w:rPr>
          <w:rFonts w:cs="Arial"/>
          <w:b w:val="false"/>
          <w:bCs w:val="false"/>
          <w:strike w:val="false"/>
          <w:dstrike w:val="false"/>
          <w:sz w:val="20"/>
          <w:szCs w:val="20"/>
          <w:u w:val="none"/>
        </w:rPr>
        <w:t xml:space="preserve">Dichiarazione requisiti ” </w:t>
      </w:r>
      <w:r>
        <w:rPr>
          <w:rFonts w:eastAsia="Times New Roman" w:cs="Times New Roman"/>
          <w:b w:val="false"/>
          <w:bCs w:val="false"/>
          <w:strike w:val="false"/>
          <w:dstrike w:val="false"/>
          <w:sz w:val="20"/>
          <w:szCs w:val="20"/>
          <w:u w:val="none"/>
          <w:lang w:eastAsia="it-IT"/>
        </w:rPr>
        <w:t>resa ai sensi degli  art. 46 e 47 del D.P.R. 445/2000 debitamente compilata e sottoscritta digitalmente dal Legale Rappresentante dell’impresa;</w:t>
      </w:r>
    </w:p>
    <w:p>
      <w:pPr>
        <w:pStyle w:val="Normal"/>
        <w:numPr>
          <w:ilvl w:val="0"/>
          <w:numId w:val="5"/>
        </w:numPr>
        <w:spacing w:lineRule="auto" w:line="240" w:before="0" w:after="29"/>
        <w:jc w:val="both"/>
        <w:rPr/>
      </w:pPr>
      <w:bookmarkStart w:id="1" w:name="__DdeLink__1345_2842431059"/>
      <w:r>
        <w:rPr>
          <w:strike w:val="false"/>
          <w:dstrike w:val="false"/>
          <w:sz w:val="20"/>
          <w:szCs w:val="20"/>
          <w:u w:val="none"/>
        </w:rPr>
        <w:t>Modello B Dichiarazione di accettazione  del Codice Etico dell’Ente Comune di Gangi;</w:t>
      </w:r>
      <w:bookmarkEnd w:id="1"/>
    </w:p>
    <w:p>
      <w:pPr>
        <w:pStyle w:val="Normal"/>
        <w:jc w:val="both"/>
        <w:rPr/>
      </w:pPr>
      <w:r>
        <w:rPr>
          <w:strike w:val="false"/>
          <w:dstrike w:val="false"/>
          <w:sz w:val="20"/>
          <w:szCs w:val="20"/>
          <w:u w:val="none"/>
        </w:rPr>
        <w:t xml:space="preserve"> </w:t>
      </w:r>
    </w:p>
    <w:p>
      <w:pPr>
        <w:pStyle w:val="Normal"/>
        <w:jc w:val="both"/>
        <w:rPr/>
      </w:pPr>
      <w:r>
        <w:rPr>
          <w:strike w:val="false"/>
          <w:dstrike w:val="false"/>
          <w:sz w:val="20"/>
          <w:szCs w:val="20"/>
          <w:u w:val="none"/>
        </w:rPr>
        <w:t xml:space="preserve">L’OFFERTA DOVRA’ pervenire, esclusivamente a mezzo della piattaforma sopra indicata entro e non oltre le ore  </w:t>
      </w:r>
      <w:r>
        <w:rPr>
          <w:rFonts w:eastAsia="Calibri" w:cs="" w:cstheme="minorBidi" w:eastAsiaTheme="minorHAnsi"/>
          <w:b/>
          <w:bCs/>
          <w:strike w:val="false"/>
          <w:dstrike w:val="false"/>
          <w:sz w:val="20"/>
          <w:szCs w:val="20"/>
          <w:u w:val="none"/>
        </w:rPr>
        <w:t xml:space="preserve">del giorno </w:t>
      </w:r>
    </w:p>
    <w:p>
      <w:pPr>
        <w:pStyle w:val="Normal"/>
        <w:jc w:val="both"/>
        <w:rPr/>
      </w:pPr>
      <w:r>
        <w:rPr>
          <w:sz w:val="20"/>
          <w:szCs w:val="20"/>
        </w:rPr>
        <w:t>Il Comune di Gangi si riserva espressamente la facoltà di recedere dalla procedura o di sospenderla o modificarne i termini o le condizioni in ogni momento, senza preavviso e senza motivazione, qualunque sia il grado di avanzamento della stessa e senza che ciò possa far sorgere in capo alla S.V. diritti a risarcimento o indennizzo, salva, a richiesta, la restituzione della documentazione eventualmente già presentata.</w:t>
      </w:r>
    </w:p>
    <w:p>
      <w:pPr>
        <w:pStyle w:val="Normal"/>
        <w:widowControl/>
        <w:numPr>
          <w:ilvl w:val="0"/>
          <w:numId w:val="7"/>
        </w:numPr>
        <w:suppressAutoHyphens w:val="true"/>
        <w:bidi w:val="0"/>
        <w:spacing w:lineRule="auto" w:line="276" w:before="0" w:after="200"/>
        <w:ind w:left="907" w:right="0" w:hanging="340"/>
        <w:jc w:val="both"/>
        <w:rPr/>
      </w:pPr>
      <w:r>
        <w:rPr>
          <w:b/>
          <w:bCs/>
          <w:strike w:val="false"/>
          <w:dstrike w:val="false"/>
          <w:sz w:val="20"/>
          <w:szCs w:val="20"/>
          <w:u w:val="none"/>
        </w:rPr>
        <w:t xml:space="preserve">Responsabile Unico del Servizio </w:t>
      </w:r>
      <w:r>
        <w:rPr>
          <w:strike w:val="false"/>
          <w:dstrike w:val="false"/>
          <w:sz w:val="20"/>
          <w:szCs w:val="20"/>
          <w:u w:val="none"/>
        </w:rPr>
        <w:t>-</w:t>
      </w:r>
      <w:r>
        <w:rPr>
          <w:b/>
          <w:bCs/>
          <w:strike w:val="false"/>
          <w:dstrike w:val="false"/>
          <w:sz w:val="20"/>
          <w:szCs w:val="20"/>
          <w:u w:val="none"/>
        </w:rPr>
        <w:t xml:space="preserve"> Trattamento dei dati - Pubblicità</w:t>
      </w:r>
      <w:r>
        <w:rPr>
          <w:strike w:val="false"/>
          <w:dstrike w:val="false"/>
          <w:sz w:val="20"/>
          <w:szCs w:val="20"/>
          <w:u w:val="none"/>
        </w:rPr>
        <w:t xml:space="preserve"> dell'avviso è individuato nella </w:t>
      </w:r>
      <w:r>
        <w:rPr>
          <w:rFonts w:eastAsia="Calibri" w:cs="" w:cstheme="minorBidi" w:eastAsiaTheme="minorHAnsi"/>
          <w:strike w:val="false"/>
          <w:dstrike w:val="false"/>
          <w:color w:val="auto"/>
          <w:kern w:val="0"/>
          <w:sz w:val="20"/>
          <w:szCs w:val="20"/>
          <w:u w:val="none"/>
          <w:lang w:val="it-IT" w:eastAsia="en-US" w:bidi="ar-SA"/>
        </w:rPr>
        <w:t>dott.ssa Graziella Placenti</w:t>
      </w:r>
      <w:r>
        <w:rPr>
          <w:strike w:val="false"/>
          <w:dstrike w:val="false"/>
          <w:sz w:val="20"/>
          <w:szCs w:val="20"/>
          <w:u w:val="none"/>
        </w:rPr>
        <w:t xml:space="preserve">, responsabile del Settore </w:t>
      </w:r>
      <w:r>
        <w:rPr>
          <w:rFonts w:eastAsia="Calibri" w:cs="" w:cstheme="minorBidi" w:eastAsiaTheme="minorHAnsi"/>
          <w:strike w:val="false"/>
          <w:dstrike w:val="false"/>
          <w:color w:val="auto"/>
          <w:kern w:val="0"/>
          <w:sz w:val="20"/>
          <w:szCs w:val="20"/>
          <w:u w:val="none"/>
          <w:lang w:val="it-IT" w:eastAsia="en-US" w:bidi="ar-SA"/>
        </w:rPr>
        <w:t xml:space="preserve">Servizi sociali scolastici e culturali </w:t>
      </w:r>
      <w:r>
        <w:rPr>
          <w:strike w:val="false"/>
          <w:dstrike w:val="false"/>
          <w:sz w:val="20"/>
          <w:szCs w:val="20"/>
          <w:u w:val="none"/>
        </w:rPr>
        <w:t>.</w:t>
      </w:r>
    </w:p>
    <w:p>
      <w:pPr>
        <w:pStyle w:val="Normal"/>
        <w:widowControl/>
        <w:numPr>
          <w:ilvl w:val="0"/>
          <w:numId w:val="0"/>
        </w:numPr>
        <w:tabs>
          <w:tab w:val="clear" w:pos="720"/>
          <w:tab w:val="left" w:pos="396" w:leader="none"/>
        </w:tabs>
        <w:suppressAutoHyphens w:val="true"/>
        <w:bidi w:val="0"/>
        <w:spacing w:lineRule="auto" w:line="276" w:before="0" w:after="200"/>
        <w:ind w:left="360" w:right="0" w:hanging="0"/>
        <w:jc w:val="both"/>
        <w:rPr/>
      </w:pPr>
      <w:r>
        <w:rPr>
          <w:strike w:val="false"/>
          <w:dstrike w:val="false"/>
          <w:sz w:val="20"/>
          <w:szCs w:val="20"/>
          <w:u w:val="none"/>
        </w:rPr>
        <w:t xml:space="preserve">Ai sensi dell'art. 13 del Regolamento europeo n. 679/2016 si informa che il trattamento dei dati forniti sarà improntato ai principi di correttezza, liceità, trasparenza e di tutela della riservatezza nonché dei diritti del proponente. Le finalità cui sono destinati i dati si riferiscono esclusivamente alla presente lettera di invito </w:t>
      </w:r>
    </w:p>
    <w:p>
      <w:pPr>
        <w:pStyle w:val="Normal"/>
        <w:widowControl/>
        <w:numPr>
          <w:ilvl w:val="0"/>
          <w:numId w:val="0"/>
        </w:numPr>
        <w:tabs>
          <w:tab w:val="clear" w:pos="720"/>
          <w:tab w:val="left" w:pos="396" w:leader="none"/>
        </w:tabs>
        <w:suppressAutoHyphens w:val="true"/>
        <w:bidi w:val="0"/>
        <w:spacing w:lineRule="auto" w:line="276" w:before="0" w:after="200"/>
        <w:ind w:left="720" w:right="0" w:hanging="0"/>
        <w:jc w:val="both"/>
        <w:rPr>
          <w:rFonts w:ascii="Calibri" w:hAnsi="Calibri"/>
          <w:sz w:val="20"/>
          <w:szCs w:val="20"/>
        </w:rPr>
      </w:pPr>
      <w:r>
        <w:rPr>
          <w:strike w:val="false"/>
          <w:dstrike w:val="false"/>
          <w:sz w:val="20"/>
          <w:szCs w:val="20"/>
          <w:u w:val="none"/>
        </w:rPr>
        <w:t>ALLEGATI:</w:t>
      </w:r>
    </w:p>
    <w:p>
      <w:pPr>
        <w:pStyle w:val="Normal"/>
        <w:widowControl/>
        <w:numPr>
          <w:ilvl w:val="0"/>
          <w:numId w:val="6"/>
        </w:numPr>
        <w:tabs>
          <w:tab w:val="clear" w:pos="720"/>
          <w:tab w:val="left" w:pos="396" w:leader="none"/>
        </w:tabs>
        <w:suppressAutoHyphens w:val="true"/>
        <w:bidi w:val="0"/>
        <w:spacing w:lineRule="auto" w:line="276" w:before="0" w:after="200"/>
        <w:jc w:val="both"/>
        <w:rPr/>
      </w:pPr>
      <w:r>
        <w:rPr>
          <w:strike w:val="false"/>
          <w:dstrike w:val="false"/>
          <w:color w:val="auto"/>
          <w:sz w:val="20"/>
          <w:szCs w:val="20"/>
          <w:u w:val="none"/>
        </w:rPr>
        <w:t xml:space="preserve">Modello “A” D.S.A.N. </w:t>
      </w:r>
      <w:r>
        <w:rPr>
          <w:strike w:val="false"/>
          <w:dstrike w:val="false"/>
          <w:sz w:val="20"/>
          <w:szCs w:val="20"/>
          <w:u w:val="none"/>
        </w:rPr>
        <w:t xml:space="preserve">dei requisiti </w:t>
      </w:r>
    </w:p>
    <w:p>
      <w:pPr>
        <w:pStyle w:val="Normal"/>
        <w:widowControl/>
        <w:numPr>
          <w:ilvl w:val="0"/>
          <w:numId w:val="6"/>
        </w:numPr>
        <w:tabs>
          <w:tab w:val="clear" w:pos="720"/>
          <w:tab w:val="left" w:pos="396" w:leader="none"/>
        </w:tabs>
        <w:suppressAutoHyphens w:val="true"/>
        <w:bidi w:val="0"/>
        <w:spacing w:lineRule="auto" w:line="276" w:before="0" w:after="200"/>
        <w:jc w:val="both"/>
        <w:rPr/>
      </w:pPr>
      <w:r>
        <w:rPr>
          <w:strike w:val="false"/>
          <w:dstrike w:val="false"/>
          <w:sz w:val="20"/>
          <w:szCs w:val="20"/>
          <w:u w:val="none"/>
        </w:rPr>
        <w:t>Modello “B” Codice etico del Comune di Gangi;</w:t>
      </w:r>
    </w:p>
    <w:p>
      <w:pPr>
        <w:pStyle w:val="Normal"/>
        <w:numPr>
          <w:ilvl w:val="0"/>
          <w:numId w:val="0"/>
        </w:numPr>
        <w:ind w:left="720" w:hanging="0"/>
        <w:jc w:val="both"/>
        <w:rPr>
          <w:strike w:val="false"/>
          <w:dstrike w:val="false"/>
          <w:sz w:val="20"/>
          <w:szCs w:val="20"/>
          <w:u w:val="none"/>
        </w:rPr>
      </w:pPr>
      <w:r>
        <w:rPr>
          <w:strike w:val="false"/>
          <w:dstrike w:val="false"/>
          <w:sz w:val="20"/>
          <w:szCs w:val="20"/>
          <w:u w:val="none"/>
        </w:rPr>
      </w:r>
    </w:p>
    <w:p>
      <w:pPr>
        <w:pStyle w:val="Normal"/>
        <w:widowControl/>
        <w:tabs>
          <w:tab w:val="clear" w:pos="720"/>
          <w:tab w:val="left" w:pos="396" w:leader="none"/>
        </w:tabs>
        <w:suppressAutoHyphens w:val="true"/>
        <w:bidi w:val="0"/>
        <w:spacing w:lineRule="auto" w:line="240" w:before="0" w:after="29"/>
        <w:jc w:val="both"/>
        <w:rPr>
          <w:strike w:val="false"/>
          <w:dstrike w:val="false"/>
          <w:u w:val="none"/>
        </w:rPr>
      </w:pPr>
      <w:r>
        <w:rPr>
          <w:strike w:val="false"/>
          <w:dstrike w:val="false"/>
          <w:u w:val="none"/>
        </w:rPr>
        <w:tab/>
        <w:tab/>
        <w:tab/>
        <w:tab/>
        <w:tab/>
        <w:tab/>
        <w:tab/>
        <w:tab/>
        <w:tab/>
      </w:r>
      <w:r>
        <w:rPr>
          <w:b/>
          <w:bCs/>
          <w:strike w:val="false"/>
          <w:dstrike w:val="false"/>
          <w:u w:val="none"/>
        </w:rPr>
        <w:t>Il Responsabile del Settore</w:t>
      </w:r>
    </w:p>
    <w:p>
      <w:pPr>
        <w:pStyle w:val="Normal"/>
        <w:widowControl/>
        <w:tabs>
          <w:tab w:val="clear" w:pos="720"/>
          <w:tab w:val="left" w:pos="396" w:leader="none"/>
        </w:tabs>
        <w:suppressAutoHyphens w:val="true"/>
        <w:bidi w:val="0"/>
        <w:spacing w:lineRule="auto" w:line="240" w:before="0" w:after="29"/>
        <w:jc w:val="both"/>
        <w:rPr>
          <w:b/>
          <w:b/>
          <w:bCs/>
          <w:strike w:val="false"/>
          <w:dstrike w:val="false"/>
          <w:u w:val="none"/>
        </w:rPr>
      </w:pPr>
      <w:r>
        <w:rPr>
          <w:b/>
          <w:bCs/>
          <w:strike w:val="false"/>
          <w:dstrike w:val="false"/>
          <w:u w:val="none"/>
        </w:rPr>
        <w:tab/>
        <w:tab/>
        <w:tab/>
        <w:tab/>
        <w:tab/>
        <w:tab/>
        <w:tab/>
        <w:tab/>
        <w:t xml:space="preserve">      Servizi Sociali Scolastici e Culturali</w:t>
      </w:r>
    </w:p>
    <w:p>
      <w:pPr>
        <w:pStyle w:val="Normal"/>
        <w:widowControl/>
        <w:tabs>
          <w:tab w:val="clear" w:pos="720"/>
          <w:tab w:val="left" w:pos="396" w:leader="none"/>
        </w:tabs>
        <w:suppressAutoHyphens w:val="true"/>
        <w:bidi w:val="0"/>
        <w:spacing w:lineRule="auto" w:line="240" w:before="0" w:after="29"/>
        <w:jc w:val="both"/>
        <w:rPr/>
      </w:pPr>
      <w:r>
        <w:rPr>
          <w:b/>
          <w:bCs/>
          <w:strike w:val="false"/>
          <w:dstrike w:val="false"/>
          <w:u w:val="none"/>
        </w:rPr>
        <w:tab/>
        <w:tab/>
        <w:tab/>
        <w:tab/>
        <w:tab/>
        <w:tab/>
        <w:tab/>
        <w:tab/>
        <w:tab/>
        <w:t xml:space="preserve">     Dott.ssa G.Placenti </w:t>
      </w:r>
    </w:p>
    <w:p>
      <w:pPr>
        <w:pStyle w:val="Normal"/>
        <w:widowControl/>
        <w:tabs>
          <w:tab w:val="clear" w:pos="720"/>
          <w:tab w:val="left" w:pos="396" w:leader="none"/>
        </w:tabs>
        <w:suppressAutoHyphens w:val="true"/>
        <w:bidi w:val="0"/>
        <w:spacing w:lineRule="auto" w:line="276" w:before="0" w:after="200"/>
        <w:jc w:val="both"/>
        <w:rPr>
          <w:strike w:val="false"/>
          <w:dstrike w:val="false"/>
          <w:u w:val="none"/>
        </w:rPr>
      </w:pPr>
      <w:r>
        <w:rPr>
          <w:strike w:val="false"/>
          <w:dstrike w:val="false"/>
          <w:u w:val="none"/>
        </w:rPr>
      </w:r>
    </w:p>
    <w:p>
      <w:pPr>
        <w:pStyle w:val="Normal"/>
        <w:spacing w:before="0" w:after="200"/>
        <w:rPr/>
      </w:pPr>
      <w:r>
        <w:rPr/>
        <w:drawing>
          <wp:anchor behindDoc="0" distT="0" distB="0" distL="0" distR="0" simplePos="0" locked="0" layoutInCell="1" allowOverlap="1" relativeHeight="3">
            <wp:simplePos x="0" y="0"/>
            <wp:positionH relativeFrom="column">
              <wp:posOffset>95250</wp:posOffset>
            </wp:positionH>
            <wp:positionV relativeFrom="paragraph">
              <wp:posOffset>500380</wp:posOffset>
            </wp:positionV>
            <wp:extent cx="6120130" cy="847725"/>
            <wp:effectExtent l="0" t="0" r="0" b="0"/>
            <wp:wrapSquare wrapText="larges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5"/>
                    <a:stretch>
                      <a:fillRect/>
                    </a:stretch>
                  </pic:blipFill>
                  <pic:spPr bwMode="auto">
                    <a:xfrm>
                      <a:off x="0" y="0"/>
                      <a:ext cx="6120130" cy="847725"/>
                    </a:xfrm>
                    <a:prstGeom prst="rect">
                      <a:avLst/>
                    </a:prstGeom>
                  </pic:spPr>
                </pic:pic>
              </a:graphicData>
            </a:graphic>
          </wp:anchor>
        </w:drawing>
      </w:r>
    </w:p>
    <w:sectPr>
      <w:headerReference w:type="default" r:id="rId6"/>
      <w:type w:val="nextPage"/>
      <w:pgSz w:w="11906" w:h="16838"/>
      <w:pgMar w:left="1134" w:right="1134" w:header="1134" w:top="1923"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Arial">
    <w:charset w:val="00"/>
    <w:family w:val="roman"/>
    <w:pitch w:val="variable"/>
  </w:font>
  <w:font w:name="Tw Cen MT">
    <w:charset w:val="00"/>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suppressLineNumbers/>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Titolo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1457"/>
        </w:tabs>
        <w:ind w:left="1457" w:hanging="360"/>
      </w:pPr>
      <w:rPr>
        <w:rFonts w:ascii="Symbol" w:hAnsi="Symbol" w:cs="Symbol" w:hint="default"/>
        <w:rFonts w:cs="OpenSymbol"/>
      </w:rPr>
    </w:lvl>
    <w:lvl w:ilvl="1">
      <w:start w:val="1"/>
      <w:numFmt w:val="bullet"/>
      <w:lvlText w:val="◦"/>
      <w:lvlJc w:val="left"/>
      <w:pPr>
        <w:tabs>
          <w:tab w:val="num" w:pos="1817"/>
        </w:tabs>
        <w:ind w:left="1817" w:hanging="360"/>
      </w:pPr>
      <w:rPr>
        <w:rFonts w:ascii="OpenSymbol" w:hAnsi="OpenSymbol" w:cs="OpenSymbol" w:hint="default"/>
        <w:rFonts w:cs="OpenSymbol"/>
      </w:rPr>
    </w:lvl>
    <w:lvl w:ilvl="2">
      <w:start w:val="1"/>
      <w:numFmt w:val="bullet"/>
      <w:lvlText w:val="▪"/>
      <w:lvlJc w:val="left"/>
      <w:pPr>
        <w:tabs>
          <w:tab w:val="num" w:pos="2177"/>
        </w:tabs>
        <w:ind w:left="2177" w:hanging="360"/>
      </w:pPr>
      <w:rPr>
        <w:rFonts w:ascii="OpenSymbol" w:hAnsi="OpenSymbol" w:cs="OpenSymbol" w:hint="default"/>
        <w:rFonts w:cs="OpenSymbol"/>
      </w:rPr>
    </w:lvl>
    <w:lvl w:ilvl="3">
      <w:start w:val="1"/>
      <w:numFmt w:val="bullet"/>
      <w:lvlText w:val=""/>
      <w:lvlJc w:val="left"/>
      <w:pPr>
        <w:tabs>
          <w:tab w:val="num" w:pos="2537"/>
        </w:tabs>
        <w:ind w:left="2537" w:hanging="360"/>
      </w:pPr>
      <w:rPr>
        <w:rFonts w:ascii="Symbol" w:hAnsi="Symbol" w:cs="Symbol" w:hint="default"/>
        <w:rFonts w:cs="OpenSymbol"/>
      </w:rPr>
    </w:lvl>
    <w:lvl w:ilvl="4">
      <w:start w:val="1"/>
      <w:numFmt w:val="bullet"/>
      <w:lvlText w:val="◦"/>
      <w:lvlJc w:val="left"/>
      <w:pPr>
        <w:tabs>
          <w:tab w:val="num" w:pos="2897"/>
        </w:tabs>
        <w:ind w:left="2897" w:hanging="360"/>
      </w:pPr>
      <w:rPr>
        <w:rFonts w:ascii="OpenSymbol" w:hAnsi="OpenSymbol" w:cs="OpenSymbol" w:hint="default"/>
        <w:rFonts w:cs="OpenSymbol"/>
      </w:rPr>
    </w:lvl>
    <w:lvl w:ilvl="5">
      <w:start w:val="1"/>
      <w:numFmt w:val="bullet"/>
      <w:lvlText w:val="▪"/>
      <w:lvlJc w:val="left"/>
      <w:pPr>
        <w:tabs>
          <w:tab w:val="num" w:pos="3257"/>
        </w:tabs>
        <w:ind w:left="3257" w:hanging="360"/>
      </w:pPr>
      <w:rPr>
        <w:rFonts w:ascii="OpenSymbol" w:hAnsi="OpenSymbol" w:cs="OpenSymbol" w:hint="default"/>
        <w:rFonts w:cs="OpenSymbol"/>
      </w:rPr>
    </w:lvl>
    <w:lvl w:ilvl="6">
      <w:start w:val="1"/>
      <w:numFmt w:val="bullet"/>
      <w:lvlText w:val=""/>
      <w:lvlJc w:val="left"/>
      <w:pPr>
        <w:tabs>
          <w:tab w:val="num" w:pos="3617"/>
        </w:tabs>
        <w:ind w:left="3617" w:hanging="360"/>
      </w:pPr>
      <w:rPr>
        <w:rFonts w:ascii="Symbol" w:hAnsi="Symbol" w:cs="Symbol" w:hint="default"/>
        <w:rFonts w:cs="OpenSymbol"/>
      </w:rPr>
    </w:lvl>
    <w:lvl w:ilvl="7">
      <w:start w:val="1"/>
      <w:numFmt w:val="bullet"/>
      <w:lvlText w:val="◦"/>
      <w:lvlJc w:val="left"/>
      <w:pPr>
        <w:tabs>
          <w:tab w:val="num" w:pos="3977"/>
        </w:tabs>
        <w:ind w:left="3977" w:hanging="360"/>
      </w:pPr>
      <w:rPr>
        <w:rFonts w:ascii="OpenSymbol" w:hAnsi="OpenSymbol" w:cs="OpenSymbol" w:hint="default"/>
        <w:rFonts w:cs="OpenSymbol"/>
      </w:rPr>
    </w:lvl>
    <w:lvl w:ilvl="8">
      <w:start w:val="1"/>
      <w:numFmt w:val="bullet"/>
      <w:lvlText w:val="▪"/>
      <w:lvlJc w:val="left"/>
      <w:pPr>
        <w:tabs>
          <w:tab w:val="num" w:pos="4337"/>
        </w:tabs>
        <w:ind w:left="4337"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d2d5b"/>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itolo1">
    <w:name w:val="Heading 1"/>
    <w:basedOn w:val="Normal"/>
    <w:qFormat/>
    <w:pPr>
      <w:spacing w:lineRule="exact" w:line="274"/>
      <w:ind w:left="3214" w:right="3278" w:hanging="0"/>
      <w:jc w:val="center"/>
      <w:outlineLvl w:val="0"/>
    </w:pPr>
    <w:rPr>
      <w:b/>
      <w:bCs/>
      <w:sz w:val="24"/>
      <w:szCs w:val="24"/>
    </w:rPr>
  </w:style>
  <w:style w:type="paragraph" w:styleId="Titolo2">
    <w:name w:val="Heading 2"/>
    <w:basedOn w:val="Normal"/>
    <w:next w:val="Normal"/>
    <w:qFormat/>
    <w:pPr>
      <w:keepNext w:val="true"/>
      <w:keepLines w:val="false"/>
      <w:numPr>
        <w:ilvl w:val="1"/>
        <w:numId w:val="1"/>
      </w:numPr>
      <w:tabs>
        <w:tab w:val="clear" w:pos="720"/>
        <w:tab w:val="left" w:pos="0" w:leader="none"/>
      </w:tabs>
      <w:jc w:val="both"/>
      <w:outlineLvl w:val="1"/>
    </w:pPr>
    <w:rPr>
      <w:b/>
      <w:bCs/>
      <w:sz w:val="20"/>
      <w:szCs w:val="24"/>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36308b"/>
    <w:rPr>
      <w:rFonts w:ascii="Tahoma" w:hAnsi="Tahoma" w:cs="Tahoma"/>
      <w:sz w:val="16"/>
      <w:szCs w:val="16"/>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Caratteridinumerazione">
    <w:name w:val="Caratteri di numerazione"/>
    <w:qFormat/>
    <w:rPr/>
  </w:style>
  <w:style w:type="character" w:styleId="Punti">
    <w:name w:val="Punti"/>
    <w:qFormat/>
    <w:rPr>
      <w:rFonts w:ascii="OpenSymbol" w:hAnsi="OpenSymbol" w:eastAsia="OpenSymbol" w:cs="OpenSymbol"/>
    </w:rPr>
  </w:style>
  <w:style w:type="character" w:styleId="CollegamentoInternet">
    <w:name w:val="Collegamento Internet"/>
    <w:rPr>
      <w:color w:val="000080"/>
      <w:u w:val="single"/>
      <w:lang w:val="zxx" w:eastAsia="zxx" w:bidi="zxx"/>
    </w:rPr>
  </w:style>
  <w:style w:type="character" w:styleId="CollegamentoInternetvisitato">
    <w:name w:val="Collegamento Internet visitato"/>
    <w:rPr>
      <w:color w:val="800000"/>
      <w:u w:val="single"/>
      <w:lang w:val="zxx" w:eastAsia="zxx" w:bidi="zxx"/>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3z0">
    <w:name w:val="WW8Num3z0"/>
    <w:qFormat/>
    <w:rPr>
      <w:szCs w:val="24"/>
      <w:lang w:eastAsia="it-IT"/>
    </w:rPr>
  </w:style>
  <w:style w:type="character" w:styleId="Carpredefinitoparagrafo4">
    <w:name w:val="Car. predefinito paragrafo4"/>
    <w:qFormat/>
    <w:rPr/>
  </w:style>
  <w:style w:type="character" w:styleId="Enfasiforte">
    <w:name w:val="Enfasi forte"/>
    <w:basedOn w:val="Carpredefinitoparagrafo4"/>
    <w:qFormat/>
    <w:rPr>
      <w:b/>
      <w:bCs/>
    </w:rPr>
  </w:style>
  <w:style w:type="character" w:styleId="Carpredefinitoparagrafo">
    <w:name w:val="Car. predefinito paragrafo"/>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lang w:val="zxx" w:eastAsia="zxx" w:bidi="zxx"/>
    </w:rPr>
  </w:style>
  <w:style w:type="paragraph" w:styleId="BalloonText">
    <w:name w:val="Balloon Text"/>
    <w:basedOn w:val="Normal"/>
    <w:link w:val="TestofumettoCarattere"/>
    <w:uiPriority w:val="99"/>
    <w:semiHidden/>
    <w:unhideWhenUsed/>
    <w:qFormat/>
    <w:rsid w:val="0036308b"/>
    <w:pPr>
      <w:spacing w:lineRule="auto" w:line="240" w:before="0" w:after="0"/>
    </w:pPr>
    <w:rPr>
      <w:rFonts w:ascii="Tahoma" w:hAnsi="Tahoma" w:cs="Tahoma"/>
      <w:sz w:val="16"/>
      <w:szCs w:val="16"/>
    </w:rPr>
  </w:style>
  <w:style w:type="paragraph" w:styleId="Notaapidipagina">
    <w:name w:val="Footnote Text"/>
    <w:basedOn w:val="Normal"/>
    <w:pPr>
      <w:suppressLineNumbers/>
      <w:ind w:left="340" w:hanging="340"/>
    </w:pPr>
    <w:rPr>
      <w:sz w:val="20"/>
      <w:szCs w:val="20"/>
    </w:rPr>
  </w:style>
  <w:style w:type="paragraph" w:styleId="Intestazioneepidipagina">
    <w:name w:val="Intestazione e piè di pagina"/>
    <w:basedOn w:val="Normal"/>
    <w:qFormat/>
    <w:pPr>
      <w:suppressLineNumbers/>
      <w:tabs>
        <w:tab w:val="clear" w:pos="720"/>
        <w:tab w:val="center" w:pos="4819" w:leader="none"/>
        <w:tab w:val="right" w:pos="9638" w:leader="none"/>
      </w:tabs>
    </w:pPr>
    <w:rPr/>
  </w:style>
  <w:style w:type="paragraph" w:styleId="Intestazione">
    <w:name w:val="Header"/>
    <w:basedOn w:val="Intestazioneepidipagina"/>
    <w:pPr>
      <w:suppressLineNumbers/>
    </w:pPr>
    <w:rPr/>
  </w:style>
  <w:style w:type="paragraph" w:styleId="ListParagraph">
    <w:name w:val="List Paragraph"/>
    <w:basedOn w:val="Normal"/>
    <w:qFormat/>
    <w:pPr>
      <w:ind w:left="185" w:right="248" w:hanging="360"/>
      <w:jc w:val="both"/>
    </w:pPr>
    <w:rPr/>
  </w:style>
  <w:style w:type="paragraph" w:styleId="Textbody">
    <w:name w:val="Text body"/>
    <w:basedOn w:val="Normal"/>
    <w:qFormat/>
    <w:pPr>
      <w:widowControl w:val="false"/>
      <w:spacing w:before="0" w:after="120"/>
      <w:textAlignment w:val="baseline"/>
    </w:pPr>
    <w:rPr>
      <w:rFonts w:eastAsia="SimSun;宋体" w:cs="Mangal"/>
      <w:kern w:val="2"/>
      <w:lang w:eastAsia="zh-CN" w:bidi="hi-IN"/>
    </w:rPr>
  </w:style>
  <w:style w:type="numbering" w:styleId="NoList" w:default="1">
    <w:name w:val="No List"/>
    <w:uiPriority w:val="99"/>
    <w:semiHidden/>
    <w:unhideWhenUsed/>
    <w:qFormat/>
  </w:style>
  <w:style w:type="numbering" w:styleId="WW8Num2">
    <w:name w:val="WW8Num2"/>
    <w:qFormat/>
  </w:style>
  <w:style w:type="numbering" w:styleId="WW8Num4">
    <w:name w:val="WW8Num4"/>
    <w:qFormat/>
  </w:style>
  <w:style w:type="numbering" w:styleId="WW8Num3">
    <w:name w:val="WW8Num3"/>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acquisti/" TargetMode="External"/><Relationship Id="rId4" Type="http://schemas.openxmlformats.org/officeDocument/2006/relationships/hyperlink" Target="https://www.acquisti/" TargetMode="External"/><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285</TotalTime>
  <Application>LibreOffice/6.3.4.2$Windows_X86_64 LibreOffice_project/60da17e045e08f1793c57c00ba83cdfce946d0aa</Application>
  <Pages>3</Pages>
  <Words>1087</Words>
  <Characters>6544</Characters>
  <CharactersWithSpaces>7654</CharactersWithSpaces>
  <Paragraphs>50</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2024-07-25T13:31:00Z</dcterms:created>
  <dc:creator>Pist</dc:creator>
  <dc:description/>
  <dc:language>it-IT</dc:language>
  <cp:lastModifiedBy/>
  <cp:lastPrinted>2023-03-06T10:01:14Z</cp:lastPrinted>
  <dcterms:modified xsi:type="dcterms:W3CDTF">2025-07-29T15:38:32Z</dcterms:modified>
  <cp:revision>44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ies>
</file>